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65" w:rsidRPr="00A94437" w:rsidRDefault="00242F65" w:rsidP="00242F65">
      <w:pPr>
        <w:jc w:val="center"/>
        <w:rPr>
          <w:b/>
          <w:sz w:val="28"/>
          <w:szCs w:val="28"/>
        </w:rPr>
      </w:pPr>
      <w:r w:rsidRPr="00A94437">
        <w:rPr>
          <w:b/>
          <w:sz w:val="28"/>
          <w:szCs w:val="28"/>
        </w:rPr>
        <w:t>О Т Ч Е Т</w:t>
      </w:r>
    </w:p>
    <w:p w:rsidR="00242F65" w:rsidRDefault="00242F65" w:rsidP="00242F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Националната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професионална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секция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„Е А С Т”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за периода 201</w:t>
      </w:r>
      <w:r w:rsidR="00C16982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1</w:t>
      </w:r>
      <w:r w:rsidR="00C16982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г.</w:t>
      </w:r>
    </w:p>
    <w:p w:rsidR="00242F65" w:rsidRDefault="00242F65" w:rsidP="00242F6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Уважаеми колеги,</w:t>
      </w:r>
    </w:p>
    <w:p w:rsidR="00242F65" w:rsidRPr="00A94437" w:rsidRDefault="00242F65" w:rsidP="00242F65">
      <w:pPr>
        <w:ind w:firstLine="708"/>
        <w:rPr>
          <w:sz w:val="26"/>
          <w:szCs w:val="26"/>
        </w:rPr>
      </w:pPr>
      <w:r w:rsidRPr="00A94437">
        <w:rPr>
          <w:sz w:val="26"/>
          <w:szCs w:val="26"/>
        </w:rPr>
        <w:t>Изтеклият период от времето на последното годишно събрание на НПС „ЕАСТ” се характеризира със следните особености:</w:t>
      </w:r>
    </w:p>
    <w:p w:rsidR="00242F65" w:rsidRPr="002D5B05" w:rsidRDefault="00242F65" w:rsidP="00242F65">
      <w:pPr>
        <w:numPr>
          <w:ilvl w:val="0"/>
          <w:numId w:val="1"/>
        </w:numPr>
        <w:rPr>
          <w:sz w:val="26"/>
          <w:szCs w:val="26"/>
        </w:rPr>
      </w:pPr>
      <w:r w:rsidRPr="002D5B05">
        <w:rPr>
          <w:sz w:val="26"/>
          <w:szCs w:val="26"/>
        </w:rPr>
        <w:t xml:space="preserve">стабилизиране на състава на НПС „ЕАСТ“ секция и попълването й с </w:t>
      </w:r>
      <w:r w:rsidR="0003768D" w:rsidRPr="002D5B05">
        <w:rPr>
          <w:sz w:val="26"/>
          <w:szCs w:val="26"/>
        </w:rPr>
        <w:t>нови</w:t>
      </w:r>
      <w:r w:rsidRPr="002D5B05">
        <w:rPr>
          <w:sz w:val="26"/>
          <w:szCs w:val="26"/>
        </w:rPr>
        <w:t xml:space="preserve"> кадри;</w:t>
      </w:r>
    </w:p>
    <w:p w:rsidR="00242F65" w:rsidRPr="002D5B05" w:rsidRDefault="00242F65" w:rsidP="00242F65">
      <w:pPr>
        <w:numPr>
          <w:ilvl w:val="0"/>
          <w:numId w:val="1"/>
        </w:numPr>
        <w:rPr>
          <w:sz w:val="26"/>
          <w:szCs w:val="26"/>
        </w:rPr>
      </w:pPr>
      <w:r w:rsidRPr="002D5B05">
        <w:rPr>
          <w:sz w:val="26"/>
          <w:szCs w:val="26"/>
        </w:rPr>
        <w:t>укрепване и стабилизиране дейността на регионалните секции;</w:t>
      </w:r>
    </w:p>
    <w:p w:rsidR="00242F65" w:rsidRPr="002D5B05" w:rsidRDefault="00242F65" w:rsidP="00242F65">
      <w:pPr>
        <w:numPr>
          <w:ilvl w:val="0"/>
          <w:numId w:val="1"/>
        </w:numPr>
        <w:rPr>
          <w:sz w:val="26"/>
          <w:szCs w:val="26"/>
        </w:rPr>
      </w:pPr>
      <w:r w:rsidRPr="002D5B05">
        <w:rPr>
          <w:sz w:val="26"/>
          <w:szCs w:val="26"/>
        </w:rPr>
        <w:t>продължаваща дейност в областта на обучението и квалификацията</w:t>
      </w:r>
      <w:r w:rsidR="00C16982" w:rsidRPr="002D5B05">
        <w:rPr>
          <w:sz w:val="26"/>
          <w:szCs w:val="26"/>
        </w:rPr>
        <w:t>;</w:t>
      </w:r>
    </w:p>
    <w:p w:rsidR="00C16982" w:rsidRPr="002D5B05" w:rsidRDefault="00C16982" w:rsidP="00242F65">
      <w:pPr>
        <w:numPr>
          <w:ilvl w:val="0"/>
          <w:numId w:val="1"/>
        </w:numPr>
        <w:rPr>
          <w:sz w:val="26"/>
          <w:szCs w:val="26"/>
        </w:rPr>
      </w:pPr>
      <w:r w:rsidRPr="002D5B05">
        <w:rPr>
          <w:sz w:val="26"/>
          <w:szCs w:val="26"/>
        </w:rPr>
        <w:t xml:space="preserve">провеждането на националната среща-обсъждане </w:t>
      </w:r>
      <w:r w:rsidR="002D5B05" w:rsidRPr="002D5B05">
        <w:rPr>
          <w:sz w:val="26"/>
          <w:szCs w:val="26"/>
        </w:rPr>
        <w:t>състоянието на част „Електрическа“</w:t>
      </w:r>
      <w:r w:rsidR="00277800">
        <w:rPr>
          <w:sz w:val="26"/>
          <w:szCs w:val="26"/>
        </w:rPr>
        <w:t>.</w:t>
      </w:r>
      <w:r w:rsidRPr="002D5B05">
        <w:rPr>
          <w:sz w:val="26"/>
          <w:szCs w:val="26"/>
        </w:rPr>
        <w:t xml:space="preserve"> </w:t>
      </w:r>
    </w:p>
    <w:p w:rsidR="00242F65" w:rsidRPr="00A94437" w:rsidRDefault="00242F65" w:rsidP="00242F65">
      <w:pPr>
        <w:rPr>
          <w:sz w:val="26"/>
          <w:szCs w:val="26"/>
        </w:rPr>
      </w:pPr>
      <w:r w:rsidRPr="00A94437">
        <w:rPr>
          <w:sz w:val="26"/>
          <w:szCs w:val="26"/>
        </w:rPr>
        <w:t xml:space="preserve">         За по-голяма последователност и прегледност на изложението ще ви информирам за отделните дейности по раздели:</w:t>
      </w:r>
    </w:p>
    <w:p w:rsidR="00242F65" w:rsidRPr="00A94437" w:rsidRDefault="00242F65" w:rsidP="00242F65">
      <w:pPr>
        <w:numPr>
          <w:ilvl w:val="0"/>
          <w:numId w:val="2"/>
        </w:numPr>
        <w:rPr>
          <w:sz w:val="26"/>
          <w:szCs w:val="26"/>
        </w:rPr>
      </w:pPr>
      <w:r w:rsidRPr="00A94437">
        <w:rPr>
          <w:sz w:val="26"/>
          <w:szCs w:val="26"/>
        </w:rPr>
        <w:t>Структура и състав на професионалната секция;</w:t>
      </w:r>
    </w:p>
    <w:p w:rsidR="00242F65" w:rsidRPr="00A94437" w:rsidRDefault="00242F65" w:rsidP="00242F65">
      <w:pPr>
        <w:numPr>
          <w:ilvl w:val="0"/>
          <w:numId w:val="2"/>
        </w:numPr>
        <w:rPr>
          <w:sz w:val="26"/>
          <w:szCs w:val="26"/>
        </w:rPr>
      </w:pPr>
      <w:r w:rsidRPr="00A94437">
        <w:rPr>
          <w:sz w:val="26"/>
          <w:szCs w:val="26"/>
        </w:rPr>
        <w:t>Представителство в органите на КИИП;</w:t>
      </w:r>
    </w:p>
    <w:p w:rsidR="00242F65" w:rsidRPr="00A94437" w:rsidRDefault="00242F65" w:rsidP="00242F65">
      <w:pPr>
        <w:numPr>
          <w:ilvl w:val="0"/>
          <w:numId w:val="2"/>
        </w:numPr>
        <w:rPr>
          <w:sz w:val="26"/>
          <w:szCs w:val="26"/>
        </w:rPr>
      </w:pPr>
      <w:r w:rsidRPr="00A94437">
        <w:rPr>
          <w:sz w:val="26"/>
          <w:szCs w:val="26"/>
        </w:rPr>
        <w:t>Сътрудничество с други организации;</w:t>
      </w:r>
    </w:p>
    <w:p w:rsidR="00242F65" w:rsidRPr="00A94437" w:rsidRDefault="00242F65" w:rsidP="00242F65">
      <w:pPr>
        <w:numPr>
          <w:ilvl w:val="0"/>
          <w:numId w:val="2"/>
        </w:numPr>
        <w:rPr>
          <w:sz w:val="26"/>
          <w:szCs w:val="26"/>
        </w:rPr>
      </w:pPr>
      <w:r w:rsidRPr="00A94437">
        <w:rPr>
          <w:sz w:val="26"/>
          <w:szCs w:val="26"/>
        </w:rPr>
        <w:t>Поддържане и актуализиране на регистрите за проект</w:t>
      </w:r>
      <w:r w:rsidR="00277800">
        <w:rPr>
          <w:sz w:val="26"/>
          <w:szCs w:val="26"/>
        </w:rPr>
        <w:t xml:space="preserve">. </w:t>
      </w:r>
      <w:r w:rsidRPr="00A94437">
        <w:rPr>
          <w:sz w:val="26"/>
          <w:szCs w:val="26"/>
        </w:rPr>
        <w:t>правоспособност и експертите;</w:t>
      </w:r>
    </w:p>
    <w:p w:rsidR="00242F65" w:rsidRPr="00A94437" w:rsidRDefault="00242F65" w:rsidP="00242F65">
      <w:pPr>
        <w:numPr>
          <w:ilvl w:val="0"/>
          <w:numId w:val="2"/>
        </w:numPr>
        <w:rPr>
          <w:sz w:val="26"/>
          <w:szCs w:val="26"/>
        </w:rPr>
      </w:pPr>
      <w:r w:rsidRPr="00A94437">
        <w:rPr>
          <w:sz w:val="26"/>
          <w:szCs w:val="26"/>
        </w:rPr>
        <w:t>Осъществяване на контакти с регионалните професионални секции;</w:t>
      </w:r>
    </w:p>
    <w:p w:rsidR="00242F65" w:rsidRPr="00A94437" w:rsidRDefault="00242F65" w:rsidP="00242F65">
      <w:pPr>
        <w:numPr>
          <w:ilvl w:val="0"/>
          <w:numId w:val="2"/>
        </w:numPr>
        <w:rPr>
          <w:sz w:val="26"/>
          <w:szCs w:val="26"/>
        </w:rPr>
      </w:pPr>
      <w:r w:rsidRPr="00A94437">
        <w:rPr>
          <w:sz w:val="26"/>
          <w:szCs w:val="26"/>
        </w:rPr>
        <w:t xml:space="preserve">Мероприятия, свързани с квалификацията на кадрите. </w:t>
      </w:r>
    </w:p>
    <w:p w:rsidR="00242F65" w:rsidRPr="00A94437" w:rsidRDefault="00242F65" w:rsidP="00242F65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ru-RU"/>
        </w:rPr>
        <w:t>По т. 1</w:t>
      </w:r>
      <w:r>
        <w:rPr>
          <w:b/>
          <w:sz w:val="28"/>
          <w:szCs w:val="28"/>
          <w:u w:val="single"/>
        </w:rPr>
        <w:t xml:space="preserve">. Структура и състав на професионалната </w:t>
      </w:r>
      <w:r w:rsidRPr="00A94437">
        <w:rPr>
          <w:b/>
          <w:sz w:val="28"/>
          <w:szCs w:val="28"/>
          <w:u w:val="single"/>
        </w:rPr>
        <w:t>секция</w:t>
      </w:r>
    </w:p>
    <w:tbl>
      <w:tblPr>
        <w:tblW w:w="101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20"/>
        <w:gridCol w:w="62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 w:rsidP="002D5B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 w:rsidP="002D5B05">
            <w:pPr>
              <w:jc w:val="right"/>
            </w:pPr>
            <w:r>
              <w:t>Общо,членове с ПП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8982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9061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10617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10972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12471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11759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12135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12135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12620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13976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13979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в т.ч. от   ЕАСТ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1565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1673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2056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2186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2531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2505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2585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2492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2601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2786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2957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18,3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19,1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20,35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20,65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21,3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21,3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20,5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20,6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19,93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21,16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Членове с ППП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7337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7560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8876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9093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9887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9415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9759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9961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10369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10973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10785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в т.ч. от   ЕАСТ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1328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1400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1659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1699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1842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1842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1912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1932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2045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2122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2193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18,1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18,5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18,7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18,7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18,6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19,6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19,4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19,7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19,34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20,33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Членове с ОПП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1242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1198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1513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1651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2369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2344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2376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2174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2251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3003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3194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в т.ч. от   ЕАСТ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258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273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397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487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689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663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673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556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664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764</w:t>
            </w:r>
          </w:p>
        </w:tc>
      </w:tr>
      <w:tr w:rsidR="00BE49C0" w:rsidTr="00BE49C0">
        <w:trPr>
          <w:trHeight w:val="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9C0" w:rsidRDefault="00BE49C0" w:rsidP="006E73A9">
            <w:pPr>
              <w:jc w:val="right"/>
            </w:pPr>
            <w:r>
              <w:t>20,8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9C0" w:rsidRDefault="00BE49C0">
            <w:pPr>
              <w:jc w:val="right"/>
            </w:pPr>
            <w:r>
              <w:t>22,8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26,2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29,5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9C0" w:rsidRDefault="00BE49C0">
            <w:pPr>
              <w:jc w:val="right"/>
            </w:pPr>
            <w:r>
              <w:t>28,35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25,8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C0" w:rsidRDefault="00BE49C0">
            <w:pPr>
              <w:jc w:val="right"/>
            </w:pPr>
            <w:r>
              <w:t>24,7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BE49C0">
            <w:pPr>
              <w:jc w:val="right"/>
            </w:pPr>
            <w:r>
              <w:t>22,11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C0" w:rsidRDefault="00A94437">
            <w:pPr>
              <w:jc w:val="right"/>
            </w:pPr>
            <w:r>
              <w:t>23,92</w:t>
            </w:r>
          </w:p>
        </w:tc>
      </w:tr>
    </w:tbl>
    <w:p w:rsidR="00242F65" w:rsidRPr="001E07B0" w:rsidRDefault="00242F65" w:rsidP="00242F65">
      <w:pPr>
        <w:autoSpaceDE w:val="0"/>
        <w:autoSpaceDN w:val="0"/>
        <w:adjustRightInd w:val="0"/>
        <w:rPr>
          <w:bCs/>
          <w:sz w:val="26"/>
          <w:szCs w:val="26"/>
        </w:rPr>
      </w:pPr>
      <w:r w:rsidRPr="001E07B0">
        <w:rPr>
          <w:rFonts w:ascii="TimesNewRomanPS-BoldMT" w:hAnsi="TimesNewRomanPS-BoldMT" w:cs="TimesNewRomanPS-BoldMT"/>
          <w:bCs/>
          <w:sz w:val="26"/>
          <w:szCs w:val="26"/>
        </w:rPr>
        <w:tab/>
      </w:r>
      <w:r w:rsidRPr="001E07B0">
        <w:rPr>
          <w:bCs/>
          <w:sz w:val="26"/>
          <w:szCs w:val="26"/>
        </w:rPr>
        <w:t xml:space="preserve"> </w:t>
      </w:r>
      <w:r w:rsidR="001E07B0" w:rsidRPr="001E07B0">
        <w:rPr>
          <w:bCs/>
          <w:sz w:val="26"/>
          <w:szCs w:val="26"/>
        </w:rPr>
        <w:t>Погледнато чисто статистически</w:t>
      </w:r>
      <w:r w:rsidR="001E07B0">
        <w:rPr>
          <w:bCs/>
          <w:sz w:val="26"/>
          <w:szCs w:val="26"/>
        </w:rPr>
        <w:t xml:space="preserve"> налице е </w:t>
      </w:r>
      <w:r w:rsidR="00F20B41">
        <w:rPr>
          <w:bCs/>
          <w:sz w:val="26"/>
          <w:szCs w:val="26"/>
        </w:rPr>
        <w:t>едно покачване</w:t>
      </w:r>
      <w:r w:rsidR="001E07B0">
        <w:rPr>
          <w:bCs/>
          <w:sz w:val="26"/>
          <w:szCs w:val="26"/>
        </w:rPr>
        <w:t xml:space="preserve"> в относителното участие на членската маса от нашата секция спрямо общия състав на камарата. </w:t>
      </w:r>
      <w:r w:rsidR="00F20B41">
        <w:rPr>
          <w:bCs/>
          <w:sz w:val="26"/>
          <w:szCs w:val="26"/>
        </w:rPr>
        <w:t>Обнадеждващ е фактът, че новите проектанти с ОПП превишава този на колеги с призната ППП. Макар и инцидентно продължава желанието</w:t>
      </w:r>
      <w:r w:rsidR="00F20B41" w:rsidRPr="00DB4D51">
        <w:rPr>
          <w:bCs/>
          <w:sz w:val="16"/>
          <w:szCs w:val="16"/>
        </w:rPr>
        <w:t xml:space="preserve"> </w:t>
      </w:r>
      <w:r w:rsidR="00F20B41">
        <w:rPr>
          <w:bCs/>
          <w:sz w:val="26"/>
          <w:szCs w:val="26"/>
        </w:rPr>
        <w:t>на</w:t>
      </w:r>
      <w:r w:rsidR="00F20B41" w:rsidRPr="00DB4D51">
        <w:rPr>
          <w:bCs/>
          <w:sz w:val="16"/>
          <w:szCs w:val="16"/>
        </w:rPr>
        <w:t xml:space="preserve"> </w:t>
      </w:r>
      <w:r w:rsidR="00F20B41">
        <w:rPr>
          <w:bCs/>
          <w:sz w:val="26"/>
          <w:szCs w:val="26"/>
        </w:rPr>
        <w:t>колеги за директно признаване на ППП, но досега такъв случай не е допуснат. За първи път броят на колегите с ППП в относителен дял</w:t>
      </w:r>
      <w:r w:rsidR="00DB4D51">
        <w:rPr>
          <w:bCs/>
          <w:sz w:val="26"/>
          <w:szCs w:val="26"/>
        </w:rPr>
        <w:t xml:space="preserve"> превишава 20%. </w:t>
      </w:r>
      <w:r w:rsidR="00F20B41">
        <w:rPr>
          <w:bCs/>
          <w:sz w:val="26"/>
          <w:szCs w:val="26"/>
        </w:rPr>
        <w:t>Смущава  ни фактът,</w:t>
      </w:r>
      <w:r w:rsidR="00DB4D51" w:rsidRPr="00DB4D51">
        <w:rPr>
          <w:bCs/>
          <w:sz w:val="16"/>
          <w:szCs w:val="16"/>
        </w:rPr>
        <w:t xml:space="preserve"> </w:t>
      </w:r>
      <w:r w:rsidR="00F20B41">
        <w:rPr>
          <w:bCs/>
          <w:sz w:val="26"/>
          <w:szCs w:val="26"/>
        </w:rPr>
        <w:t>че</w:t>
      </w:r>
      <w:r w:rsidR="00F20B41" w:rsidRPr="00DB4D51">
        <w:rPr>
          <w:bCs/>
          <w:sz w:val="16"/>
          <w:szCs w:val="16"/>
        </w:rPr>
        <w:t xml:space="preserve"> </w:t>
      </w:r>
      <w:r w:rsidR="00F20B41">
        <w:rPr>
          <w:bCs/>
          <w:sz w:val="26"/>
          <w:szCs w:val="26"/>
        </w:rPr>
        <w:t xml:space="preserve">продължава напливът от лица, </w:t>
      </w:r>
      <w:r w:rsidR="00DB4D51">
        <w:rPr>
          <w:bCs/>
          <w:sz w:val="26"/>
          <w:szCs w:val="26"/>
        </w:rPr>
        <w:t xml:space="preserve">които са </w:t>
      </w:r>
      <w:r w:rsidR="00F20B41">
        <w:rPr>
          <w:bCs/>
          <w:sz w:val="26"/>
          <w:szCs w:val="26"/>
        </w:rPr>
        <w:t>дипломирани извън ареала на основните висши технически училища</w:t>
      </w:r>
      <w:r w:rsidR="00DB4D51">
        <w:rPr>
          <w:bCs/>
          <w:sz w:val="26"/>
          <w:szCs w:val="26"/>
        </w:rPr>
        <w:t>. Това неминуемо понижава качеството на „материала“, което комбинирано с ниския праг на преход между ОПП и ППП е предпоставка в крайна сметка за снижаване качеството на проектите.</w:t>
      </w:r>
      <w:r w:rsidR="00F20B41">
        <w:rPr>
          <w:bCs/>
          <w:sz w:val="26"/>
          <w:szCs w:val="26"/>
        </w:rPr>
        <w:t xml:space="preserve"> </w:t>
      </w:r>
    </w:p>
    <w:tbl>
      <w:tblPr>
        <w:tblW w:w="10358" w:type="dxa"/>
        <w:tblInd w:w="98" w:type="dxa"/>
        <w:tblLook w:val="04A0" w:firstRow="1" w:lastRow="0" w:firstColumn="1" w:lastColumn="0" w:noHBand="0" w:noVBand="1"/>
      </w:tblPr>
      <w:tblGrid>
        <w:gridCol w:w="1286"/>
        <w:gridCol w:w="1134"/>
        <w:gridCol w:w="992"/>
        <w:gridCol w:w="1560"/>
        <w:gridCol w:w="992"/>
        <w:gridCol w:w="1276"/>
        <w:gridCol w:w="992"/>
        <w:gridCol w:w="1134"/>
        <w:gridCol w:w="992"/>
      </w:tblGrid>
      <w:tr w:rsidR="000240AC" w:rsidRPr="0003768D" w:rsidTr="006E73A9">
        <w:trPr>
          <w:trHeight w:val="27"/>
        </w:trPr>
        <w:tc>
          <w:tcPr>
            <w:tcW w:w="10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</w:rPr>
            </w:pPr>
            <w:r w:rsidRPr="0003768D">
              <w:rPr>
                <w:b/>
                <w:bCs/>
                <w:color w:val="000000"/>
              </w:rPr>
              <w:t>Справка за проектантите към КИИП  с ППП по професионални секции, по години</w:t>
            </w:r>
          </w:p>
        </w:tc>
      </w:tr>
      <w:tr w:rsidR="000240AC" w:rsidRPr="0003768D" w:rsidTr="00AB137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B79"/>
            <w:bookmarkStart w:id="1" w:name="OLE_LINK1" w:colFirst="1" w:colLast="8"/>
            <w:r w:rsidRPr="0003768D">
              <w:rPr>
                <w:b/>
                <w:bCs/>
                <w:color w:val="000000"/>
                <w:sz w:val="26"/>
                <w:szCs w:val="26"/>
              </w:rPr>
              <w:t>Година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МДГE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ТСТС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ОВКХТТГ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ТЕХ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ГПГ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ЕАСТ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КСС</w:t>
            </w:r>
          </w:p>
        </w:tc>
      </w:tr>
      <w:tr w:rsidR="000240AC" w:rsidRPr="0003768D" w:rsidTr="00AB137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2283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2343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2662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2716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2928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2891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2999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2953</w:t>
            </w:r>
          </w:p>
        </w:tc>
      </w:tr>
      <w:bookmarkEnd w:id="1"/>
      <w:tr w:rsidR="000240AC" w:rsidRPr="0003768D" w:rsidTr="00AB137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AB1377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3044</w:t>
            </w:r>
          </w:p>
        </w:tc>
      </w:tr>
      <w:tr w:rsidR="00A94437" w:rsidRPr="0003768D" w:rsidTr="00AB1377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437" w:rsidRPr="00AB1377" w:rsidRDefault="00A94437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437" w:rsidRPr="00AB1377" w:rsidRDefault="00A94437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1377">
              <w:rPr>
                <w:b/>
                <w:color w:val="000000"/>
                <w:sz w:val="26"/>
                <w:szCs w:val="26"/>
              </w:rPr>
              <w:t>2122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437" w:rsidRPr="00AB1377" w:rsidRDefault="00A94437" w:rsidP="00A94437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3121</w:t>
            </w:r>
          </w:p>
        </w:tc>
      </w:tr>
      <w:tr w:rsidR="000240AC" w:rsidRPr="0003768D" w:rsidTr="00A94437">
        <w:trPr>
          <w:trHeight w:val="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AB1377" w:rsidRDefault="000240AC" w:rsidP="00A94437">
            <w:pPr>
              <w:jc w:val="center"/>
              <w:rPr>
                <w:color w:val="000000"/>
                <w:sz w:val="26"/>
                <w:szCs w:val="26"/>
              </w:rPr>
            </w:pPr>
            <w:r w:rsidRPr="00AB1377">
              <w:rPr>
                <w:color w:val="000000"/>
                <w:sz w:val="26"/>
                <w:szCs w:val="26"/>
              </w:rPr>
              <w:t>201</w:t>
            </w:r>
            <w:r w:rsidR="00A94437" w:rsidRPr="00AB137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655F44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655F44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655F44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655F44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655F44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655F44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7B7D40" w:rsidRDefault="007B7D40" w:rsidP="006E73A9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240AC" w:rsidRPr="00AB1377" w:rsidRDefault="001A2BD5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3222</w:t>
            </w:r>
          </w:p>
        </w:tc>
      </w:tr>
    </w:tbl>
    <w:p w:rsidR="000240AC" w:rsidRDefault="000240AC" w:rsidP="000240AC">
      <w:pPr>
        <w:autoSpaceDE w:val="0"/>
        <w:autoSpaceDN w:val="0"/>
        <w:adjustRightInd w:val="0"/>
        <w:jc w:val="both"/>
        <w:rPr>
          <w:bCs/>
          <w:color w:val="000000"/>
          <w:sz w:val="4"/>
          <w:szCs w:val="4"/>
          <w:lang w:eastAsia="zh-TW"/>
        </w:rPr>
      </w:pPr>
    </w:p>
    <w:p w:rsidR="00655F44" w:rsidRDefault="00655F44" w:rsidP="000240AC">
      <w:pPr>
        <w:autoSpaceDE w:val="0"/>
        <w:autoSpaceDN w:val="0"/>
        <w:adjustRightInd w:val="0"/>
        <w:jc w:val="both"/>
        <w:rPr>
          <w:bCs/>
          <w:color w:val="000000"/>
          <w:sz w:val="4"/>
          <w:szCs w:val="4"/>
          <w:lang w:eastAsia="zh-TW"/>
        </w:rPr>
      </w:pPr>
    </w:p>
    <w:p w:rsidR="00655F44" w:rsidRPr="00AB1377" w:rsidRDefault="00655F44" w:rsidP="000240AC">
      <w:pPr>
        <w:autoSpaceDE w:val="0"/>
        <w:autoSpaceDN w:val="0"/>
        <w:adjustRightInd w:val="0"/>
        <w:jc w:val="both"/>
        <w:rPr>
          <w:bCs/>
          <w:color w:val="000000"/>
          <w:sz w:val="4"/>
          <w:szCs w:val="4"/>
          <w:lang w:eastAsia="zh-TW"/>
        </w:rPr>
      </w:pPr>
    </w:p>
    <w:tbl>
      <w:tblPr>
        <w:tblW w:w="10358" w:type="dxa"/>
        <w:tblInd w:w="98" w:type="dxa"/>
        <w:tblLook w:val="04A0" w:firstRow="1" w:lastRow="0" w:firstColumn="1" w:lastColumn="0" w:noHBand="0" w:noVBand="1"/>
      </w:tblPr>
      <w:tblGrid>
        <w:gridCol w:w="1187"/>
        <w:gridCol w:w="983"/>
        <w:gridCol w:w="1080"/>
        <w:gridCol w:w="1481"/>
        <w:gridCol w:w="1080"/>
        <w:gridCol w:w="900"/>
        <w:gridCol w:w="810"/>
        <w:gridCol w:w="1420"/>
        <w:gridCol w:w="1417"/>
      </w:tblGrid>
      <w:tr w:rsidR="000240AC" w:rsidRPr="0003768D" w:rsidTr="0003768D">
        <w:trPr>
          <w:trHeight w:val="27"/>
        </w:trPr>
        <w:tc>
          <w:tcPr>
            <w:tcW w:w="10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lastRenderedPageBreak/>
              <w:t>Справка за проектантите към КИИП  с ОПП по професионални секции, по години</w:t>
            </w:r>
          </w:p>
        </w:tc>
      </w:tr>
      <w:tr w:rsidR="000240AC" w:rsidRPr="0003768D" w:rsidTr="0003768D">
        <w:trPr>
          <w:trHeight w:val="315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Година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МДГE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ТСТС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ОВКХТТГ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ТЕХ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ГПГ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ВС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ЕАСТ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КСС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390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347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398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416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634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677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629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575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6E73A9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638</w:t>
            </w:r>
          </w:p>
        </w:tc>
      </w:tr>
      <w:tr w:rsidR="00AB1377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1377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846</w:t>
            </w:r>
          </w:p>
        </w:tc>
      </w:tr>
      <w:tr w:rsidR="000240AC" w:rsidRPr="0003768D" w:rsidTr="00AB1377">
        <w:trPr>
          <w:trHeight w:val="31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AB1377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</w:t>
            </w:r>
            <w:r w:rsidR="00AB137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240AC" w:rsidRPr="0003768D" w:rsidRDefault="00AB1377" w:rsidP="006E7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1022</w:t>
            </w:r>
          </w:p>
        </w:tc>
      </w:tr>
    </w:tbl>
    <w:p w:rsidR="00CA507B" w:rsidRPr="00CA507B" w:rsidRDefault="00CA507B" w:rsidP="000240AC">
      <w:pPr>
        <w:ind w:left="708"/>
        <w:rPr>
          <w:b/>
          <w:sz w:val="16"/>
          <w:szCs w:val="16"/>
          <w:u w:val="single"/>
        </w:rPr>
      </w:pPr>
    </w:p>
    <w:p w:rsidR="00242F65" w:rsidRPr="0003768D" w:rsidRDefault="00242F65" w:rsidP="000240AC">
      <w:pPr>
        <w:ind w:left="708"/>
      </w:pPr>
      <w:r w:rsidRPr="0003768D">
        <w:rPr>
          <w:b/>
          <w:u w:val="single"/>
        </w:rPr>
        <w:t>Забележка:</w:t>
      </w:r>
      <w:r w:rsidRPr="0003768D">
        <w:rPr>
          <w:b/>
        </w:rPr>
        <w:t xml:space="preserve"> Данните са от доклада на </w:t>
      </w:r>
      <w:r w:rsidR="000240AC" w:rsidRPr="0003768D">
        <w:rPr>
          <w:b/>
        </w:rPr>
        <w:t>УС на КИИП за 201</w:t>
      </w:r>
      <w:r w:rsidR="00AB1377">
        <w:rPr>
          <w:b/>
        </w:rPr>
        <w:t>5</w:t>
      </w:r>
      <w:r w:rsidR="000240AC" w:rsidRPr="0003768D">
        <w:rPr>
          <w:b/>
        </w:rPr>
        <w:t xml:space="preserve"> г.</w:t>
      </w:r>
    </w:p>
    <w:p w:rsidR="002226E3" w:rsidRDefault="00242F65" w:rsidP="004704F3">
      <w:pPr>
        <w:ind w:left="360"/>
        <w:jc w:val="both"/>
        <w:rPr>
          <w:sz w:val="26"/>
          <w:szCs w:val="26"/>
        </w:rPr>
      </w:pPr>
      <w:r w:rsidRPr="000240AC">
        <w:rPr>
          <w:sz w:val="26"/>
          <w:szCs w:val="26"/>
        </w:rPr>
        <w:t>През 201</w:t>
      </w:r>
      <w:r w:rsidR="00277800">
        <w:rPr>
          <w:sz w:val="26"/>
          <w:szCs w:val="26"/>
        </w:rPr>
        <w:t>5</w:t>
      </w:r>
      <w:r w:rsidRPr="000240AC">
        <w:rPr>
          <w:sz w:val="26"/>
          <w:szCs w:val="26"/>
        </w:rPr>
        <w:t xml:space="preserve"> г. в НПС „ЕАСТ“ в регистрите са вписани</w:t>
      </w:r>
      <w:r w:rsidR="000240AC" w:rsidRPr="000240AC">
        <w:rPr>
          <w:sz w:val="26"/>
          <w:szCs w:val="26"/>
        </w:rPr>
        <w:t xml:space="preserve"> </w:t>
      </w:r>
      <w:r w:rsidR="00F33119">
        <w:rPr>
          <w:sz w:val="26"/>
          <w:szCs w:val="26"/>
        </w:rPr>
        <w:t>7</w:t>
      </w:r>
      <w:r w:rsidR="00AB1377">
        <w:rPr>
          <w:sz w:val="26"/>
          <w:szCs w:val="26"/>
        </w:rPr>
        <w:t>1</w:t>
      </w:r>
      <w:r w:rsidRPr="000240AC">
        <w:rPr>
          <w:sz w:val="26"/>
          <w:szCs w:val="26"/>
        </w:rPr>
        <w:t xml:space="preserve"> </w:t>
      </w:r>
      <w:r w:rsidR="000240AC" w:rsidRPr="000240AC">
        <w:rPr>
          <w:sz w:val="26"/>
          <w:szCs w:val="26"/>
        </w:rPr>
        <w:t xml:space="preserve">лица </w:t>
      </w:r>
      <w:r w:rsidRPr="000240AC">
        <w:rPr>
          <w:sz w:val="26"/>
          <w:szCs w:val="26"/>
        </w:rPr>
        <w:t xml:space="preserve">с ППП и </w:t>
      </w:r>
      <w:r w:rsidR="00F33119">
        <w:rPr>
          <w:sz w:val="26"/>
          <w:szCs w:val="26"/>
        </w:rPr>
        <w:t>10</w:t>
      </w:r>
      <w:r w:rsidR="00AB1377">
        <w:rPr>
          <w:sz w:val="26"/>
          <w:szCs w:val="26"/>
        </w:rPr>
        <w:t>0</w:t>
      </w:r>
      <w:r w:rsidRPr="000240AC">
        <w:rPr>
          <w:sz w:val="26"/>
          <w:szCs w:val="26"/>
        </w:rPr>
        <w:t xml:space="preserve"> </w:t>
      </w:r>
      <w:r w:rsidR="000240AC" w:rsidRPr="000240AC">
        <w:rPr>
          <w:sz w:val="26"/>
          <w:szCs w:val="26"/>
        </w:rPr>
        <w:t>-</w:t>
      </w:r>
      <w:r w:rsidRPr="000240AC">
        <w:rPr>
          <w:sz w:val="26"/>
          <w:szCs w:val="26"/>
        </w:rPr>
        <w:t xml:space="preserve"> с ОПП.</w:t>
      </w:r>
      <w:r w:rsidR="002226E3">
        <w:rPr>
          <w:sz w:val="26"/>
          <w:szCs w:val="26"/>
        </w:rPr>
        <w:t xml:space="preserve"> </w:t>
      </w:r>
      <w:r w:rsidR="0003768D">
        <w:rPr>
          <w:sz w:val="26"/>
          <w:szCs w:val="26"/>
        </w:rPr>
        <w:t xml:space="preserve"> </w:t>
      </w:r>
      <w:r w:rsidR="002226E3">
        <w:rPr>
          <w:sz w:val="26"/>
          <w:szCs w:val="26"/>
        </w:rPr>
        <w:t xml:space="preserve">Общо </w:t>
      </w:r>
    </w:p>
    <w:p w:rsidR="005B1D30" w:rsidRDefault="002226E3" w:rsidP="008E0D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КИИП тези числа са </w:t>
      </w:r>
      <w:r w:rsidR="00550A46">
        <w:rPr>
          <w:sz w:val="26"/>
          <w:szCs w:val="26"/>
        </w:rPr>
        <w:t xml:space="preserve">417 </w:t>
      </w:r>
      <w:r>
        <w:rPr>
          <w:sz w:val="26"/>
          <w:szCs w:val="26"/>
        </w:rPr>
        <w:t xml:space="preserve">и </w:t>
      </w:r>
      <w:r w:rsidR="00550A46">
        <w:rPr>
          <w:sz w:val="26"/>
          <w:szCs w:val="26"/>
        </w:rPr>
        <w:t>646</w:t>
      </w:r>
      <w:r>
        <w:rPr>
          <w:sz w:val="26"/>
          <w:szCs w:val="26"/>
        </w:rPr>
        <w:t xml:space="preserve">, което потвърждава изводът за намаления приток на проектанти </w:t>
      </w:r>
      <w:r w:rsidR="00277800">
        <w:rPr>
          <w:sz w:val="26"/>
          <w:szCs w:val="26"/>
        </w:rPr>
        <w:t>в КИИП изобщо</w:t>
      </w:r>
      <w:r>
        <w:rPr>
          <w:sz w:val="26"/>
          <w:szCs w:val="26"/>
        </w:rPr>
        <w:t>.</w:t>
      </w:r>
      <w:r w:rsidR="00CE312E">
        <w:rPr>
          <w:sz w:val="26"/>
          <w:szCs w:val="26"/>
        </w:rPr>
        <w:t xml:space="preserve"> </w:t>
      </w:r>
      <w:r w:rsidR="00CE312E" w:rsidRPr="00CE312E">
        <w:rPr>
          <w:sz w:val="26"/>
          <w:szCs w:val="26"/>
        </w:rPr>
        <w:t xml:space="preserve">От няколко години </w:t>
      </w:r>
      <w:r w:rsidR="00CE312E">
        <w:rPr>
          <w:sz w:val="26"/>
          <w:szCs w:val="26"/>
        </w:rPr>
        <w:t xml:space="preserve">и </w:t>
      </w:r>
      <w:r w:rsidR="00CE312E" w:rsidRPr="00CE312E">
        <w:rPr>
          <w:sz w:val="26"/>
          <w:szCs w:val="26"/>
        </w:rPr>
        <w:t>техническите университети в страната отчитат тенденция за все по-нисък интерес сред младите хора към класическите машинни специалности и електротехника.</w:t>
      </w:r>
      <w:r w:rsidR="00CE312E">
        <w:rPr>
          <w:sz w:val="26"/>
          <w:szCs w:val="26"/>
        </w:rPr>
        <w:t xml:space="preserve"> С</w:t>
      </w:r>
      <w:r w:rsidR="00CE312E" w:rsidRPr="00CE312E">
        <w:rPr>
          <w:sz w:val="26"/>
          <w:szCs w:val="26"/>
        </w:rPr>
        <w:t xml:space="preserve">траната ни </w:t>
      </w:r>
      <w:r w:rsidR="0003768D">
        <w:rPr>
          <w:sz w:val="26"/>
          <w:szCs w:val="26"/>
        </w:rPr>
        <w:t xml:space="preserve">е </w:t>
      </w:r>
      <w:r w:rsidR="00CE312E" w:rsidRPr="00CE312E">
        <w:rPr>
          <w:sz w:val="26"/>
          <w:szCs w:val="26"/>
        </w:rPr>
        <w:t>пред реалната опасност след няколко години да останем без специалисти в тези области и бизнесът да не разполага с необходимите за производството кадри</w:t>
      </w:r>
      <w:r w:rsidR="00CE312E">
        <w:rPr>
          <w:sz w:val="26"/>
          <w:szCs w:val="26"/>
        </w:rPr>
        <w:t>, в частност</w:t>
      </w:r>
      <w:r w:rsidR="0003768D">
        <w:rPr>
          <w:sz w:val="26"/>
          <w:szCs w:val="26"/>
        </w:rPr>
        <w:t xml:space="preserve"> </w:t>
      </w:r>
      <w:r w:rsidR="00CE312E">
        <w:rPr>
          <w:sz w:val="26"/>
          <w:szCs w:val="26"/>
        </w:rPr>
        <w:t>и за проектирането</w:t>
      </w:r>
      <w:r w:rsidR="00CE312E" w:rsidRPr="00CE312E">
        <w:rPr>
          <w:sz w:val="26"/>
          <w:szCs w:val="26"/>
        </w:rPr>
        <w:t xml:space="preserve">. </w:t>
      </w:r>
      <w:r w:rsidR="00CE312E">
        <w:rPr>
          <w:sz w:val="26"/>
          <w:szCs w:val="26"/>
        </w:rPr>
        <w:t xml:space="preserve">Сега </w:t>
      </w:r>
      <w:r w:rsidR="00CE312E" w:rsidRPr="00CE312E">
        <w:rPr>
          <w:sz w:val="26"/>
          <w:szCs w:val="26"/>
        </w:rPr>
        <w:t>хора с природно заложени инженерни умения трудно могат да се открият, а и за разкриването на талантливите младежи се изисква подход, което струва време и пари</w:t>
      </w:r>
      <w:r w:rsidR="004704F3">
        <w:rPr>
          <w:sz w:val="26"/>
          <w:szCs w:val="26"/>
        </w:rPr>
        <w:t>. Няма го естествения</w:t>
      </w:r>
      <w:r w:rsidR="00277800">
        <w:rPr>
          <w:sz w:val="26"/>
          <w:szCs w:val="26"/>
        </w:rPr>
        <w:t>т</w:t>
      </w:r>
      <w:r w:rsidR="004704F3">
        <w:rPr>
          <w:sz w:val="26"/>
          <w:szCs w:val="26"/>
        </w:rPr>
        <w:t xml:space="preserve"> приток от сегашните професионални гимназии. Сега интересът е към</w:t>
      </w:r>
      <w:r w:rsidR="00CE312E" w:rsidRPr="00CE312E">
        <w:rPr>
          <w:sz w:val="26"/>
          <w:szCs w:val="26"/>
        </w:rPr>
        <w:t xml:space="preserve"> езикови или математически гимназии с разширено изучаване на информатика.</w:t>
      </w:r>
      <w:r w:rsidR="004704F3">
        <w:rPr>
          <w:sz w:val="26"/>
          <w:szCs w:val="26"/>
        </w:rPr>
        <w:t xml:space="preserve"> </w:t>
      </w:r>
      <w:r w:rsidR="00CE312E" w:rsidRPr="00CE312E">
        <w:rPr>
          <w:sz w:val="26"/>
          <w:szCs w:val="26"/>
        </w:rPr>
        <w:t>Професионалните гимназии, за да оцелеят през последните години, също наблягат на специалностите, свързани със софтуер, програмиране, компютри</w:t>
      </w:r>
      <w:r w:rsidR="004704F3">
        <w:rPr>
          <w:sz w:val="26"/>
          <w:szCs w:val="26"/>
        </w:rPr>
        <w:t xml:space="preserve">зация. </w:t>
      </w:r>
      <w:r w:rsidR="00E322A0">
        <w:rPr>
          <w:sz w:val="26"/>
          <w:szCs w:val="26"/>
        </w:rPr>
        <w:t>Бедата е, че тези специалности разположени в най-различни области на висшето образование (</w:t>
      </w:r>
      <w:r w:rsidR="005B1D30">
        <w:rPr>
          <w:sz w:val="26"/>
          <w:szCs w:val="26"/>
        </w:rPr>
        <w:t xml:space="preserve">3.5 Обществени комуникации и  информационни науки;  4.6 Информатика и компютърни науки; 5.3 Комуникационна и компютърна техника) получават квалификация „инженер“ от всевъзможни висши училища и по правило считат, че им се полага да проектират част „Електрическа“ на проектите. КИИП все още няма разработен механизъм да ги ограничи в бъдещите им желания и след две години те напират и за пълна проектантска правоспособност. Отделно от това са разните </w:t>
      </w:r>
      <w:proofErr w:type="spellStart"/>
      <w:r w:rsidR="005B1D30">
        <w:rPr>
          <w:sz w:val="26"/>
          <w:szCs w:val="26"/>
        </w:rPr>
        <w:t>зооинженери</w:t>
      </w:r>
      <w:proofErr w:type="spellEnd"/>
      <w:r w:rsidR="005B1D30">
        <w:rPr>
          <w:sz w:val="26"/>
          <w:szCs w:val="26"/>
        </w:rPr>
        <w:t xml:space="preserve">, </w:t>
      </w:r>
      <w:proofErr w:type="spellStart"/>
      <w:r w:rsidR="005B1D30">
        <w:rPr>
          <w:sz w:val="26"/>
          <w:szCs w:val="26"/>
        </w:rPr>
        <w:t>агроинженери</w:t>
      </w:r>
      <w:proofErr w:type="spellEnd"/>
      <w:r w:rsidR="005B1D30">
        <w:rPr>
          <w:sz w:val="26"/>
          <w:szCs w:val="26"/>
        </w:rPr>
        <w:t xml:space="preserve">, инженер-мениджъри, системни инженери, </w:t>
      </w:r>
      <w:proofErr w:type="spellStart"/>
      <w:r w:rsidR="005B1D30">
        <w:rPr>
          <w:sz w:val="26"/>
          <w:szCs w:val="26"/>
        </w:rPr>
        <w:t>инженери</w:t>
      </w:r>
      <w:proofErr w:type="spellEnd"/>
      <w:r w:rsidR="005B1D30">
        <w:rPr>
          <w:sz w:val="26"/>
          <w:szCs w:val="26"/>
        </w:rPr>
        <w:t xml:space="preserve"> по маркетинг и пр. и пр.</w:t>
      </w:r>
    </w:p>
    <w:p w:rsidR="00242F65" w:rsidRDefault="00242F65" w:rsidP="008E0D3C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ru-RU"/>
        </w:rPr>
        <w:t>По т. 2</w:t>
      </w:r>
      <w:r>
        <w:rPr>
          <w:b/>
          <w:sz w:val="28"/>
          <w:szCs w:val="28"/>
          <w:u w:val="single"/>
        </w:rPr>
        <w:t>. Представителство в органите на КИИП.</w:t>
      </w:r>
    </w:p>
    <w:p w:rsidR="000240AC" w:rsidRDefault="00242F65" w:rsidP="000240A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</w:rPr>
        <w:t>В Управителния съвет секцията ни се представлява от нейния представител</w:t>
      </w:r>
      <w:r w:rsidR="00C10346" w:rsidRPr="00C10346">
        <w:rPr>
          <w:sz w:val="16"/>
          <w:szCs w:val="16"/>
        </w:rPr>
        <w:t xml:space="preserve"> </w:t>
      </w:r>
      <w:r>
        <w:rPr>
          <w:sz w:val="26"/>
          <w:szCs w:val="26"/>
        </w:rPr>
        <w:t>-</w:t>
      </w:r>
      <w:r w:rsidR="000240AC" w:rsidRPr="00C10346">
        <w:rPr>
          <w:sz w:val="16"/>
          <w:szCs w:val="16"/>
        </w:rPr>
        <w:t xml:space="preserve"> </w:t>
      </w:r>
      <w:r>
        <w:rPr>
          <w:sz w:val="26"/>
          <w:szCs w:val="26"/>
        </w:rPr>
        <w:t>инж. М</w:t>
      </w:r>
      <w:r w:rsidR="000240AC">
        <w:rPr>
          <w:sz w:val="26"/>
          <w:szCs w:val="26"/>
        </w:rPr>
        <w:t>ария</w:t>
      </w:r>
      <w:r>
        <w:rPr>
          <w:sz w:val="26"/>
          <w:szCs w:val="26"/>
        </w:rPr>
        <w:t xml:space="preserve"> </w:t>
      </w:r>
    </w:p>
    <w:p w:rsidR="00242F65" w:rsidRDefault="00242F65" w:rsidP="000240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Попова, както и от главния секретар – инж. Ив. </w:t>
      </w:r>
      <w:proofErr w:type="spellStart"/>
      <w:r>
        <w:rPr>
          <w:sz w:val="26"/>
          <w:szCs w:val="26"/>
        </w:rPr>
        <w:t>Каралеев</w:t>
      </w:r>
      <w:proofErr w:type="spellEnd"/>
      <w:r>
        <w:rPr>
          <w:sz w:val="26"/>
          <w:szCs w:val="26"/>
        </w:rPr>
        <w:t xml:space="preserve">. Освен това наши представители в УС са и председателите на регионални колегии </w:t>
      </w:r>
      <w:r w:rsidR="000240AC">
        <w:rPr>
          <w:sz w:val="26"/>
          <w:szCs w:val="26"/>
        </w:rPr>
        <w:t xml:space="preserve">инж. Ив. </w:t>
      </w:r>
      <w:proofErr w:type="spellStart"/>
      <w:r w:rsidR="000240AC">
        <w:rPr>
          <w:sz w:val="26"/>
          <w:szCs w:val="26"/>
        </w:rPr>
        <w:t>Когиев</w:t>
      </w:r>
      <w:proofErr w:type="spellEnd"/>
      <w:r w:rsidR="000240AC">
        <w:rPr>
          <w:sz w:val="26"/>
          <w:szCs w:val="26"/>
        </w:rPr>
        <w:t xml:space="preserve">, инж. </w:t>
      </w:r>
      <w:r w:rsidR="005B1D30">
        <w:rPr>
          <w:sz w:val="26"/>
          <w:szCs w:val="26"/>
        </w:rPr>
        <w:t xml:space="preserve">Ст. Видев, инж. </w:t>
      </w:r>
      <w:r w:rsidR="000240AC">
        <w:rPr>
          <w:sz w:val="26"/>
          <w:szCs w:val="26"/>
        </w:rPr>
        <w:t>М. Младенов</w:t>
      </w:r>
      <w:r w:rsidR="005B1D30">
        <w:rPr>
          <w:sz w:val="26"/>
          <w:szCs w:val="26"/>
        </w:rPr>
        <w:t xml:space="preserve"> и</w:t>
      </w:r>
      <w:r w:rsidR="000240AC">
        <w:rPr>
          <w:sz w:val="26"/>
          <w:szCs w:val="26"/>
        </w:rPr>
        <w:t xml:space="preserve"> </w:t>
      </w:r>
      <w:r>
        <w:rPr>
          <w:sz w:val="26"/>
          <w:szCs w:val="26"/>
        </w:rPr>
        <w:t>инж. Р.Иванов.</w:t>
      </w:r>
      <w:r w:rsidR="00024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5B1D30">
        <w:rPr>
          <w:sz w:val="26"/>
          <w:szCs w:val="26"/>
        </w:rPr>
        <w:t>съжаление поради натрупани мандати броят на нашите участници ще бъде намален за мандатния период 2016 – 2020 г.</w:t>
      </w:r>
      <w:r w:rsidR="006E73A9">
        <w:rPr>
          <w:sz w:val="26"/>
          <w:szCs w:val="26"/>
        </w:rPr>
        <w:t>, като последните двама ще отпаднат от състава на УС. В</w:t>
      </w:r>
      <w:r w:rsidR="005B1D30"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периода 01.04.201</w:t>
      </w:r>
      <w:r w:rsidR="00277800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r w:rsidR="006E73A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E73A9">
        <w:rPr>
          <w:sz w:val="26"/>
          <w:szCs w:val="26"/>
        </w:rPr>
        <w:t xml:space="preserve"> 01</w:t>
      </w:r>
      <w:r>
        <w:rPr>
          <w:sz w:val="26"/>
          <w:szCs w:val="26"/>
        </w:rPr>
        <w:t>.</w:t>
      </w:r>
      <w:r w:rsidR="006E73A9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277800">
        <w:rPr>
          <w:sz w:val="26"/>
          <w:szCs w:val="26"/>
        </w:rPr>
        <w:t>6</w:t>
      </w:r>
      <w:r>
        <w:rPr>
          <w:sz w:val="26"/>
          <w:szCs w:val="26"/>
        </w:rPr>
        <w:t xml:space="preserve"> г. нашите представители са били редовни участници в заседанията на Управителния съвет и са посетили по-голяма част от заседанията – те са отразени подробно в доклада на инж. Ст. </w:t>
      </w:r>
      <w:proofErr w:type="spellStart"/>
      <w:r>
        <w:rPr>
          <w:sz w:val="26"/>
          <w:szCs w:val="26"/>
        </w:rPr>
        <w:t>Кинарев</w:t>
      </w:r>
      <w:proofErr w:type="spellEnd"/>
      <w:r>
        <w:rPr>
          <w:sz w:val="26"/>
          <w:szCs w:val="26"/>
        </w:rPr>
        <w:t>.</w:t>
      </w:r>
    </w:p>
    <w:p w:rsidR="00242F65" w:rsidRDefault="00242F65" w:rsidP="00242F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Нашите участници са сред активните членове, особено главният секретар инж. </w:t>
      </w:r>
      <w:proofErr w:type="spellStart"/>
      <w:r>
        <w:rPr>
          <w:sz w:val="26"/>
          <w:szCs w:val="26"/>
        </w:rPr>
        <w:t>Каралеев</w:t>
      </w:r>
      <w:proofErr w:type="spellEnd"/>
      <w:r>
        <w:rPr>
          <w:sz w:val="26"/>
          <w:szCs w:val="26"/>
        </w:rPr>
        <w:t>, който е ангажиран с изключително отговорни текущи задачи, в т..ч. и като председател на Комисията  по регистрите</w:t>
      </w:r>
      <w:r w:rsidR="00CB6B4B">
        <w:rPr>
          <w:sz w:val="26"/>
          <w:szCs w:val="26"/>
        </w:rPr>
        <w:t>, както и инж. Младенов – член на няколко постоянни комисии</w:t>
      </w:r>
      <w:r>
        <w:rPr>
          <w:sz w:val="26"/>
          <w:szCs w:val="26"/>
        </w:rPr>
        <w:t xml:space="preserve">. Другите ни представители в </w:t>
      </w:r>
      <w:r w:rsidR="00CB6B4B">
        <w:rPr>
          <w:sz w:val="26"/>
          <w:szCs w:val="26"/>
        </w:rPr>
        <w:t>Комисията по регистрите са</w:t>
      </w:r>
      <w:r>
        <w:rPr>
          <w:sz w:val="26"/>
          <w:szCs w:val="26"/>
        </w:rPr>
        <w:t xml:space="preserve"> инж. Грънчаров и инж. М. Попова. </w:t>
      </w:r>
      <w:r w:rsidR="00F33119">
        <w:rPr>
          <w:sz w:val="26"/>
          <w:szCs w:val="26"/>
        </w:rPr>
        <w:t>Тук основната тежест е в претенциите за ППП. За изминалата година най-много кандидатури за ППП</w:t>
      </w:r>
      <w:r w:rsidR="006E73A9">
        <w:rPr>
          <w:sz w:val="26"/>
          <w:szCs w:val="26"/>
        </w:rPr>
        <w:t xml:space="preserve"> са били и от най-големите секции – </w:t>
      </w:r>
      <w:r w:rsidR="00F33119">
        <w:rPr>
          <w:sz w:val="26"/>
          <w:szCs w:val="26"/>
        </w:rPr>
        <w:t>КСС</w:t>
      </w:r>
      <w:r w:rsidR="006E73A9">
        <w:rPr>
          <w:sz w:val="26"/>
          <w:szCs w:val="26"/>
        </w:rPr>
        <w:t xml:space="preserve"> и ЕАСТ.</w:t>
      </w:r>
      <w:r w:rsidR="00F33119">
        <w:rPr>
          <w:sz w:val="26"/>
          <w:szCs w:val="26"/>
        </w:rPr>
        <w:t xml:space="preserve">  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r>
        <w:rPr>
          <w:sz w:val="26"/>
          <w:szCs w:val="26"/>
        </w:rPr>
        <w:t xml:space="preserve">Наши представители участват в работата на централните органи на КИИП – Контролния съвет (инж. Елка Милева) и К Д П  (инж. </w:t>
      </w:r>
      <w:r w:rsidR="000240AC">
        <w:rPr>
          <w:sz w:val="26"/>
          <w:szCs w:val="26"/>
        </w:rPr>
        <w:t xml:space="preserve">Л. </w:t>
      </w:r>
      <w:proofErr w:type="spellStart"/>
      <w:r w:rsidR="000240AC">
        <w:rPr>
          <w:sz w:val="26"/>
          <w:szCs w:val="26"/>
        </w:rPr>
        <w:t>Аладжем</w:t>
      </w:r>
      <w:proofErr w:type="spellEnd"/>
      <w:r>
        <w:rPr>
          <w:sz w:val="26"/>
          <w:szCs w:val="26"/>
        </w:rPr>
        <w:t>)</w:t>
      </w:r>
      <w:r w:rsidR="006E73A9">
        <w:rPr>
          <w:sz w:val="26"/>
          <w:szCs w:val="26"/>
        </w:rPr>
        <w:t xml:space="preserve">. Тази година изтича и мандатът на КС и е важно да излъчим сериозен кандидат, за да разчитаме на бъдещо председателство в тази важна структура на КИИП. И двамата ни номинирани за тази позиция са били главни секретари в предишните два мандата, което усилва значително позициите им. </w:t>
      </w:r>
    </w:p>
    <w:p w:rsidR="00242F65" w:rsidRDefault="004C2A3A" w:rsidP="00242F6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42F65">
        <w:rPr>
          <w:sz w:val="26"/>
          <w:szCs w:val="26"/>
        </w:rPr>
        <w:t>Дейността на двата органа е предмет на специалните отчети на двата органа на КИИП</w:t>
      </w:r>
      <w:r>
        <w:rPr>
          <w:sz w:val="26"/>
          <w:szCs w:val="26"/>
        </w:rPr>
        <w:t>.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Наши активни участници има и в останалите комисии: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комисията по нормативни актове – инж. </w:t>
      </w:r>
      <w:proofErr w:type="spellStart"/>
      <w:r>
        <w:rPr>
          <w:sz w:val="26"/>
          <w:szCs w:val="26"/>
        </w:rPr>
        <w:t>Каралеев</w:t>
      </w:r>
      <w:proofErr w:type="spellEnd"/>
      <w:r>
        <w:rPr>
          <w:sz w:val="26"/>
          <w:szCs w:val="26"/>
        </w:rPr>
        <w:t>, инж. Младенов, инж. Р. Иванов;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бюджетната комисия – </w:t>
      </w:r>
      <w:r w:rsidR="00F33119">
        <w:rPr>
          <w:sz w:val="26"/>
          <w:szCs w:val="26"/>
        </w:rPr>
        <w:t xml:space="preserve">инж. М. Младенов, </w:t>
      </w:r>
      <w:r>
        <w:rPr>
          <w:sz w:val="26"/>
          <w:szCs w:val="26"/>
        </w:rPr>
        <w:t xml:space="preserve">инж. Св. </w:t>
      </w:r>
      <w:proofErr w:type="spellStart"/>
      <w:r>
        <w:rPr>
          <w:sz w:val="26"/>
          <w:szCs w:val="26"/>
        </w:rPr>
        <w:t>Дренски</w:t>
      </w:r>
      <w:proofErr w:type="spellEnd"/>
      <w:r>
        <w:rPr>
          <w:sz w:val="26"/>
          <w:szCs w:val="26"/>
        </w:rPr>
        <w:t>, инж. Румен Иванов.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Комисията по международната дейност -  инж. Ив. </w:t>
      </w:r>
      <w:proofErr w:type="spellStart"/>
      <w:r>
        <w:rPr>
          <w:sz w:val="26"/>
          <w:szCs w:val="26"/>
        </w:rPr>
        <w:t>Каралеев</w:t>
      </w:r>
      <w:proofErr w:type="spellEnd"/>
      <w:r>
        <w:rPr>
          <w:sz w:val="26"/>
          <w:szCs w:val="26"/>
        </w:rPr>
        <w:t>.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комисията по Методиката за възнагражденията – инж. Младенов и инж. </w:t>
      </w:r>
      <w:proofErr w:type="spellStart"/>
      <w:r>
        <w:rPr>
          <w:sz w:val="26"/>
          <w:szCs w:val="26"/>
        </w:rPr>
        <w:t>Дренски</w:t>
      </w:r>
      <w:proofErr w:type="spellEnd"/>
      <w:r>
        <w:rPr>
          <w:sz w:val="26"/>
          <w:szCs w:val="26"/>
        </w:rPr>
        <w:t>.</w:t>
      </w:r>
    </w:p>
    <w:p w:rsidR="00242F65" w:rsidRDefault="00242F65" w:rsidP="00242F65">
      <w:pPr>
        <w:jc w:val="both"/>
        <w:rPr>
          <w:sz w:val="28"/>
          <w:szCs w:val="28"/>
        </w:rPr>
      </w:pPr>
      <w:r>
        <w:rPr>
          <w:sz w:val="26"/>
          <w:szCs w:val="26"/>
        </w:rPr>
        <w:t>В комисията по признаване на профес</w:t>
      </w:r>
      <w:r w:rsidR="000240AC">
        <w:rPr>
          <w:sz w:val="26"/>
          <w:szCs w:val="26"/>
        </w:rPr>
        <w:t xml:space="preserve">ионални </w:t>
      </w:r>
      <w:r>
        <w:rPr>
          <w:sz w:val="26"/>
          <w:szCs w:val="26"/>
        </w:rPr>
        <w:t xml:space="preserve">квалификации–инж. </w:t>
      </w:r>
      <w:proofErr w:type="spellStart"/>
      <w:r w:rsidR="00F33119">
        <w:rPr>
          <w:sz w:val="26"/>
          <w:szCs w:val="26"/>
        </w:rPr>
        <w:t>Каралеев</w:t>
      </w:r>
      <w:proofErr w:type="spellEnd"/>
      <w:r>
        <w:rPr>
          <w:sz w:val="26"/>
          <w:szCs w:val="26"/>
        </w:rPr>
        <w:t>, инж. Младенов</w:t>
      </w:r>
      <w:r>
        <w:rPr>
          <w:sz w:val="28"/>
          <w:szCs w:val="28"/>
        </w:rPr>
        <w:t>.</w:t>
      </w:r>
    </w:p>
    <w:p w:rsidR="00592432" w:rsidRPr="00592432" w:rsidRDefault="00592432" w:rsidP="00242F65">
      <w:pPr>
        <w:jc w:val="both"/>
        <w:rPr>
          <w:sz w:val="26"/>
          <w:szCs w:val="26"/>
        </w:rPr>
      </w:pPr>
      <w:r w:rsidRPr="00592432">
        <w:rPr>
          <w:sz w:val="26"/>
          <w:szCs w:val="26"/>
        </w:rPr>
        <w:tab/>
        <w:t xml:space="preserve">Колегите от УС, КС и КДП са фактическото ръководство на секцията и искам специално да им благодаря за активността през годината и най-специално на зам. председателя инж. Мария Попова – за информацията, която системно ми подава във връзка с работата на УС. </w:t>
      </w:r>
      <w:r w:rsidR="006E73A9">
        <w:rPr>
          <w:sz w:val="26"/>
          <w:szCs w:val="26"/>
        </w:rPr>
        <w:t xml:space="preserve">Инж. Попова натрупа солиден опит и самочувствие в рамките на мандата и с основание беше номинирана от </w:t>
      </w:r>
      <w:r w:rsidR="00277800">
        <w:rPr>
          <w:sz w:val="26"/>
          <w:szCs w:val="26"/>
        </w:rPr>
        <w:t>РП</w:t>
      </w:r>
      <w:r w:rsidR="006E73A9">
        <w:rPr>
          <w:sz w:val="26"/>
          <w:szCs w:val="26"/>
        </w:rPr>
        <w:t>С София-град за още един мандат като наш представител в УС, вече в качеството й на председател на НПС „ЕАСТ“.</w:t>
      </w:r>
      <w:r w:rsidR="00F452F9">
        <w:rPr>
          <w:sz w:val="26"/>
          <w:szCs w:val="26"/>
        </w:rPr>
        <w:t xml:space="preserve"> Във всички случаи когато се е налагало да се формира позиция по конкретен проблем съм се обръщал към ръководството за мнението им и то е отстоявано в заседанията на УС.</w:t>
      </w:r>
      <w:bookmarkStart w:id="2" w:name="_GoBack"/>
      <w:bookmarkEnd w:id="2"/>
    </w:p>
    <w:p w:rsidR="00242F65" w:rsidRDefault="00242F65" w:rsidP="00242F65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т. 3. Сътрудничество с други организации (НКО, БИС) 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="00277800">
        <w:rPr>
          <w:sz w:val="28"/>
          <w:szCs w:val="28"/>
        </w:rPr>
        <w:t xml:space="preserve">    </w:t>
      </w:r>
      <w:r>
        <w:rPr>
          <w:sz w:val="26"/>
          <w:szCs w:val="26"/>
        </w:rPr>
        <w:t>Секция „ЕАСТ” активно сътрудничи с Националния комитет по осветление. Както</w:t>
      </w:r>
      <w:r w:rsidR="0003768D">
        <w:rPr>
          <w:sz w:val="26"/>
          <w:szCs w:val="26"/>
        </w:rPr>
        <w:t xml:space="preserve"> е</w:t>
      </w:r>
      <w:r>
        <w:rPr>
          <w:sz w:val="26"/>
          <w:szCs w:val="26"/>
        </w:rPr>
        <w:t xml:space="preserve"> известно председателят </w:t>
      </w:r>
      <w:r w:rsidR="00F33119">
        <w:rPr>
          <w:sz w:val="26"/>
          <w:szCs w:val="26"/>
        </w:rPr>
        <w:t>й</w:t>
      </w:r>
      <w:r>
        <w:rPr>
          <w:sz w:val="26"/>
          <w:szCs w:val="26"/>
        </w:rPr>
        <w:t xml:space="preserve"> инж. </w:t>
      </w:r>
      <w:proofErr w:type="spellStart"/>
      <w:r>
        <w:rPr>
          <w:sz w:val="26"/>
          <w:szCs w:val="26"/>
        </w:rPr>
        <w:t>Кр</w:t>
      </w:r>
      <w:proofErr w:type="spellEnd"/>
      <w:r>
        <w:rPr>
          <w:sz w:val="26"/>
          <w:szCs w:val="26"/>
        </w:rPr>
        <w:t>. Велинов</w:t>
      </w:r>
      <w:r w:rsidR="00F33119">
        <w:rPr>
          <w:sz w:val="26"/>
          <w:szCs w:val="26"/>
        </w:rPr>
        <w:t xml:space="preserve"> разви</w:t>
      </w:r>
      <w:r w:rsidR="006E73A9">
        <w:rPr>
          <w:sz w:val="26"/>
          <w:szCs w:val="26"/>
        </w:rPr>
        <w:t>ва системно</w:t>
      </w:r>
      <w:r w:rsidR="00F33119">
        <w:rPr>
          <w:sz w:val="26"/>
          <w:szCs w:val="26"/>
        </w:rPr>
        <w:t xml:space="preserve"> </w:t>
      </w:r>
      <w:r w:rsidR="006E73A9">
        <w:rPr>
          <w:sz w:val="26"/>
          <w:szCs w:val="26"/>
        </w:rPr>
        <w:t xml:space="preserve">полезна и </w:t>
      </w:r>
      <w:r w:rsidR="00F33119">
        <w:rPr>
          <w:sz w:val="26"/>
          <w:szCs w:val="26"/>
        </w:rPr>
        <w:t xml:space="preserve">значителна дейност във връзка с </w:t>
      </w:r>
      <w:r w:rsidR="00B430EE">
        <w:rPr>
          <w:sz w:val="26"/>
          <w:szCs w:val="26"/>
        </w:rPr>
        <w:t xml:space="preserve">продължаващото обучение на колегията. </w:t>
      </w:r>
      <w:r w:rsidR="00F33119">
        <w:rPr>
          <w:sz w:val="26"/>
          <w:szCs w:val="26"/>
        </w:rPr>
        <w:t xml:space="preserve">Много наши членове влязоха </w:t>
      </w:r>
      <w:r w:rsidR="00B430EE">
        <w:rPr>
          <w:sz w:val="26"/>
          <w:szCs w:val="26"/>
        </w:rPr>
        <w:t xml:space="preserve">и </w:t>
      </w:r>
      <w:r w:rsidR="00F33119">
        <w:rPr>
          <w:sz w:val="26"/>
          <w:szCs w:val="26"/>
        </w:rPr>
        <w:t xml:space="preserve">в </w:t>
      </w:r>
      <w:r w:rsidR="00B430EE">
        <w:rPr>
          <w:sz w:val="26"/>
          <w:szCs w:val="26"/>
        </w:rPr>
        <w:t xml:space="preserve">управителните и контролни органи на БНКО. </w:t>
      </w:r>
    </w:p>
    <w:p w:rsidR="00242F65" w:rsidRPr="00277800" w:rsidRDefault="00277800" w:rsidP="007053D2">
      <w:pPr>
        <w:jc w:val="both"/>
        <w:rPr>
          <w:sz w:val="26"/>
          <w:szCs w:val="26"/>
        </w:rPr>
      </w:pPr>
      <w:r w:rsidRPr="00277800">
        <w:rPr>
          <w:sz w:val="26"/>
          <w:szCs w:val="26"/>
        </w:rPr>
        <w:t xml:space="preserve">    </w:t>
      </w:r>
      <w:r w:rsidR="00242F65" w:rsidRPr="002778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242F65" w:rsidRPr="00277800">
        <w:rPr>
          <w:sz w:val="26"/>
          <w:szCs w:val="26"/>
        </w:rPr>
        <w:t>В работата на БИС секцията ни е ангажирана в общо четири ТК:</w:t>
      </w:r>
    </w:p>
    <w:p w:rsidR="00242F65" w:rsidRPr="00277800" w:rsidRDefault="00242F65" w:rsidP="007053D2">
      <w:pPr>
        <w:jc w:val="both"/>
        <w:rPr>
          <w:sz w:val="26"/>
          <w:szCs w:val="26"/>
        </w:rPr>
      </w:pPr>
      <w:r w:rsidRPr="00277800">
        <w:rPr>
          <w:sz w:val="26"/>
          <w:szCs w:val="26"/>
        </w:rPr>
        <w:t>-  № 49 – „Електрически уредби НН” (инж. Грънчаров</w:t>
      </w:r>
      <w:r w:rsidR="00CF3C22" w:rsidRPr="00277800">
        <w:rPr>
          <w:sz w:val="26"/>
          <w:szCs w:val="26"/>
        </w:rPr>
        <w:t xml:space="preserve">, </w:t>
      </w:r>
      <w:r w:rsidRPr="00277800">
        <w:rPr>
          <w:sz w:val="26"/>
          <w:szCs w:val="26"/>
        </w:rPr>
        <w:t xml:space="preserve">който е и председател на ТК 49); </w:t>
      </w:r>
    </w:p>
    <w:p w:rsidR="00242F65" w:rsidRPr="00277800" w:rsidRDefault="00242F65" w:rsidP="007053D2">
      <w:pPr>
        <w:jc w:val="both"/>
        <w:rPr>
          <w:sz w:val="26"/>
          <w:szCs w:val="26"/>
        </w:rPr>
      </w:pPr>
      <w:r w:rsidRPr="00277800">
        <w:rPr>
          <w:sz w:val="26"/>
          <w:szCs w:val="26"/>
        </w:rPr>
        <w:t>-  № 53 – „Алармени системи” (инж. Румен Иванов);</w:t>
      </w:r>
    </w:p>
    <w:p w:rsidR="00242F65" w:rsidRPr="00277800" w:rsidRDefault="00242F65" w:rsidP="007053D2">
      <w:pPr>
        <w:jc w:val="both"/>
        <w:rPr>
          <w:sz w:val="26"/>
          <w:szCs w:val="26"/>
        </w:rPr>
      </w:pPr>
      <w:r w:rsidRPr="00277800">
        <w:rPr>
          <w:sz w:val="26"/>
          <w:szCs w:val="26"/>
        </w:rPr>
        <w:t xml:space="preserve">-  № 54 –  „Осветителна техника и </w:t>
      </w:r>
      <w:proofErr w:type="spellStart"/>
      <w:r w:rsidRPr="00277800">
        <w:rPr>
          <w:sz w:val="26"/>
          <w:szCs w:val="26"/>
        </w:rPr>
        <w:t>електроинсталационни</w:t>
      </w:r>
      <w:proofErr w:type="spellEnd"/>
      <w:r w:rsidRPr="00277800">
        <w:rPr>
          <w:sz w:val="26"/>
          <w:szCs w:val="26"/>
        </w:rPr>
        <w:t xml:space="preserve"> изделия” (инж. </w:t>
      </w:r>
      <w:proofErr w:type="spellStart"/>
      <w:r w:rsidRPr="00277800">
        <w:rPr>
          <w:sz w:val="26"/>
          <w:szCs w:val="26"/>
        </w:rPr>
        <w:t>Кр</w:t>
      </w:r>
      <w:proofErr w:type="spellEnd"/>
      <w:r w:rsidRPr="00277800">
        <w:rPr>
          <w:sz w:val="26"/>
          <w:szCs w:val="26"/>
        </w:rPr>
        <w:t>. Велинов);</w:t>
      </w:r>
    </w:p>
    <w:p w:rsidR="00242F65" w:rsidRPr="00277800" w:rsidRDefault="00242F65" w:rsidP="007053D2">
      <w:pPr>
        <w:jc w:val="both"/>
        <w:rPr>
          <w:sz w:val="26"/>
          <w:szCs w:val="26"/>
        </w:rPr>
      </w:pPr>
      <w:r w:rsidRPr="00277800">
        <w:rPr>
          <w:sz w:val="26"/>
          <w:szCs w:val="26"/>
        </w:rPr>
        <w:t>-  № 79 –  „</w:t>
      </w:r>
      <w:proofErr w:type="spellStart"/>
      <w:r w:rsidRPr="00277800">
        <w:rPr>
          <w:sz w:val="26"/>
          <w:szCs w:val="26"/>
        </w:rPr>
        <w:t>Електроенергетика</w:t>
      </w:r>
      <w:proofErr w:type="spellEnd"/>
      <w:r w:rsidRPr="00277800">
        <w:rPr>
          <w:sz w:val="26"/>
          <w:szCs w:val="26"/>
        </w:rPr>
        <w:t xml:space="preserve">” (инж. Малинка </w:t>
      </w:r>
      <w:proofErr w:type="spellStart"/>
      <w:r w:rsidRPr="00277800">
        <w:rPr>
          <w:sz w:val="26"/>
          <w:szCs w:val="26"/>
        </w:rPr>
        <w:t>Качикозова</w:t>
      </w:r>
      <w:proofErr w:type="spellEnd"/>
      <w:r w:rsidRPr="00277800">
        <w:rPr>
          <w:sz w:val="26"/>
          <w:szCs w:val="26"/>
        </w:rPr>
        <w:t>).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>Освен това инж. Л. Грънчаров е и член на Техн</w:t>
      </w:r>
      <w:r w:rsidR="002A1D7D">
        <w:rPr>
          <w:sz w:val="26"/>
          <w:szCs w:val="26"/>
        </w:rPr>
        <w:t>ическия</w:t>
      </w:r>
      <w:r>
        <w:rPr>
          <w:sz w:val="26"/>
          <w:szCs w:val="26"/>
        </w:rPr>
        <w:t xml:space="preserve"> съвет по </w:t>
      </w:r>
      <w:r>
        <w:rPr>
          <w:bCs/>
          <w:sz w:val="26"/>
          <w:szCs w:val="26"/>
        </w:rPr>
        <w:t xml:space="preserve">стандартизация </w:t>
      </w:r>
      <w:r>
        <w:rPr>
          <w:sz w:val="26"/>
          <w:szCs w:val="26"/>
        </w:rPr>
        <w:t xml:space="preserve"> (ТСЕ) в областта на електротехниката при БИС,</w:t>
      </w:r>
      <w:r w:rsidR="007053D2">
        <w:rPr>
          <w:sz w:val="26"/>
          <w:szCs w:val="26"/>
        </w:rPr>
        <w:t xml:space="preserve"> </w:t>
      </w:r>
      <w:r>
        <w:rPr>
          <w:sz w:val="26"/>
          <w:szCs w:val="26"/>
        </w:rPr>
        <w:t>който следи за дейността по стандартизация и в останалите технически комитети към ТСЕ.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3"/>
      </w:tblGrid>
      <w:tr w:rsidR="00242F65" w:rsidTr="00C67D47">
        <w:trPr>
          <w:trHeight w:val="1670"/>
        </w:trPr>
        <w:tc>
          <w:tcPr>
            <w:tcW w:w="10803" w:type="dxa"/>
            <w:hideMark/>
          </w:tcPr>
          <w:p w:rsidR="008F2D19" w:rsidRDefault="00242F65" w:rsidP="008F2D19">
            <w:pPr>
              <w:ind w:right="25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В </w:t>
            </w:r>
            <w:r w:rsidRPr="007B7D40">
              <w:rPr>
                <w:b/>
                <w:i/>
                <w:color w:val="0000FF"/>
                <w:sz w:val="26"/>
                <w:szCs w:val="26"/>
                <w:u w:val="single"/>
              </w:rPr>
              <w:t>прил</w:t>
            </w:r>
            <w:r w:rsidR="007053D2" w:rsidRPr="007B7D40">
              <w:rPr>
                <w:b/>
                <w:i/>
                <w:color w:val="0000FF"/>
                <w:sz w:val="26"/>
                <w:szCs w:val="26"/>
                <w:u w:val="single"/>
              </w:rPr>
              <w:t>ожение</w:t>
            </w:r>
            <w:r w:rsidRPr="007B7D40">
              <w:rPr>
                <w:b/>
                <w:i/>
                <w:color w:val="0000FF"/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</w:rPr>
              <w:t xml:space="preserve"> е дадена справка за дейността, главно в областта на </w:t>
            </w:r>
            <w:r w:rsidR="007053D2">
              <w:rPr>
                <w:sz w:val="26"/>
                <w:szCs w:val="26"/>
              </w:rPr>
              <w:t xml:space="preserve">предстоящите </w:t>
            </w:r>
            <w:r>
              <w:rPr>
                <w:sz w:val="26"/>
                <w:szCs w:val="26"/>
              </w:rPr>
              <w:t xml:space="preserve"> преводи на стандарти,</w:t>
            </w:r>
            <w:r w:rsidR="00B430EE" w:rsidRPr="00B430EE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което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е особено важно</w:t>
            </w:r>
            <w:r w:rsidRPr="00B430EE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 w:rsidRPr="00B430EE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приложимостта на стандартите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дейността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ни</w:t>
            </w:r>
            <w:r w:rsidR="007053D2">
              <w:rPr>
                <w:sz w:val="26"/>
                <w:szCs w:val="26"/>
              </w:rPr>
              <w:t>.</w:t>
            </w:r>
            <w:r w:rsidR="00C10346">
              <w:rPr>
                <w:sz w:val="26"/>
                <w:szCs w:val="26"/>
              </w:rPr>
              <w:t xml:space="preserve"> </w:t>
            </w:r>
            <w:r w:rsidR="007053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 тази година в обновения сайт на БИС е предложена изключително много информация, за това няма да се спирам подробно за дейността на нашите представители в БИС</w:t>
            </w:r>
            <w:r w:rsidR="007053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592432">
              <w:rPr>
                <w:sz w:val="26"/>
                <w:szCs w:val="26"/>
              </w:rPr>
              <w:t xml:space="preserve">          Считам, че тук е мястото да отразя </w:t>
            </w:r>
            <w:r w:rsidR="00B430EE">
              <w:rPr>
                <w:sz w:val="26"/>
                <w:szCs w:val="26"/>
              </w:rPr>
              <w:t xml:space="preserve">факта, че със средства на КИИП бяха осигурени преводите на основополагащи стандарти в областта на </w:t>
            </w:r>
            <w:proofErr w:type="spellStart"/>
            <w:r w:rsidR="00B430EE">
              <w:rPr>
                <w:sz w:val="26"/>
                <w:szCs w:val="26"/>
              </w:rPr>
              <w:t>сградните</w:t>
            </w:r>
            <w:proofErr w:type="spellEnd"/>
            <w:r w:rsidR="00B430EE">
              <w:rPr>
                <w:sz w:val="26"/>
                <w:szCs w:val="26"/>
              </w:rPr>
              <w:t xml:space="preserve"> инсталации. На лице е възможност при успешна реализация на програмата за преводите, да бъде издаден специален сборник от стандарти от разделите 4 „Защити за безопасност“ и 5 „Избор и въвеждане в експлоатация“ от групата 60364 „Ел. уредби за НН“. Такива сборници по правило се предлагат на силно занижени цени от БИС. Очаквам вашата активност за определяне за превод и на стандарти от областта на другите технически комитети от областта на </w:t>
            </w:r>
            <w:r w:rsidR="00A72AB5">
              <w:rPr>
                <w:sz w:val="26"/>
                <w:szCs w:val="26"/>
              </w:rPr>
              <w:t>електротехниката, електрониката</w:t>
            </w:r>
            <w:r w:rsidR="00B430EE">
              <w:rPr>
                <w:sz w:val="26"/>
                <w:szCs w:val="26"/>
              </w:rPr>
              <w:t xml:space="preserve"> </w:t>
            </w:r>
            <w:r w:rsidR="00A72AB5">
              <w:rPr>
                <w:sz w:val="26"/>
                <w:szCs w:val="26"/>
              </w:rPr>
              <w:t>и съобщителната техника.</w:t>
            </w:r>
            <w:r w:rsidR="00B430EE">
              <w:rPr>
                <w:sz w:val="26"/>
                <w:szCs w:val="26"/>
              </w:rPr>
              <w:t xml:space="preserve"> </w:t>
            </w:r>
          </w:p>
          <w:p w:rsidR="008F2D19" w:rsidRDefault="00C67D47" w:rsidP="00A72AB5">
            <w:pPr>
              <w:ind w:right="253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</w:t>
            </w:r>
            <w:r>
              <w:rPr>
                <w:sz w:val="26"/>
                <w:szCs w:val="26"/>
              </w:rPr>
              <w:t xml:space="preserve">От началото на 2014 г. чрез достъп с парола действа електронна платформа за участие в работата по стандартизация чрез интернет страницата на БИС, като е осигурен достъп на всеки член на технически комитет до стандарти и </w:t>
            </w:r>
            <w:proofErr w:type="spellStart"/>
            <w:r>
              <w:rPr>
                <w:sz w:val="26"/>
                <w:szCs w:val="26"/>
              </w:rPr>
              <w:t>стандартизационни</w:t>
            </w:r>
            <w:proofErr w:type="spellEnd"/>
            <w:r>
              <w:rPr>
                <w:sz w:val="26"/>
                <w:szCs w:val="26"/>
              </w:rPr>
              <w:t xml:space="preserve"> документи.</w:t>
            </w:r>
          </w:p>
        </w:tc>
      </w:tr>
    </w:tbl>
    <w:p w:rsidR="00592432" w:rsidRPr="00592432" w:rsidRDefault="00592432" w:rsidP="00242F65">
      <w:pPr>
        <w:rPr>
          <w:b/>
          <w:sz w:val="8"/>
          <w:szCs w:val="8"/>
          <w:u w:val="single"/>
        </w:rPr>
      </w:pPr>
    </w:p>
    <w:p w:rsidR="00242F65" w:rsidRDefault="00242F65" w:rsidP="008F2D19">
      <w:pPr>
        <w:ind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 т. 4. Поддържане и актуализиране на регистрите за </w:t>
      </w:r>
      <w:r w:rsidR="008F2D19">
        <w:rPr>
          <w:b/>
          <w:sz w:val="26"/>
          <w:szCs w:val="26"/>
          <w:u w:val="single"/>
        </w:rPr>
        <w:t>ПП</w:t>
      </w:r>
      <w:r>
        <w:rPr>
          <w:b/>
          <w:sz w:val="26"/>
          <w:szCs w:val="26"/>
          <w:u w:val="single"/>
        </w:rPr>
        <w:t xml:space="preserve"> и на експерти</w:t>
      </w:r>
    </w:p>
    <w:p w:rsidR="00242F65" w:rsidRDefault="00242F65" w:rsidP="00242F65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Поддържането и актуализирането на регистрите е основно задължение на КИИП. Съгласно чл.4.3, ал. 3  на Устава ни „КИИП актуализира на всеки два месеца ........ регистрите по чл. 6 </w:t>
      </w:r>
      <w:r>
        <w:rPr>
          <w:bCs/>
          <w:color w:val="000000"/>
          <w:sz w:val="26"/>
          <w:szCs w:val="26"/>
        </w:rPr>
        <w:lastRenderedPageBreak/>
        <w:t>на ЗКАИИП (за ППП, ОПП и проектантските бюра) и подава информация за това в електронната си страница</w:t>
      </w:r>
      <w:r w:rsidR="008F2D19">
        <w:rPr>
          <w:bCs/>
          <w:color w:val="000000"/>
          <w:sz w:val="26"/>
          <w:szCs w:val="26"/>
        </w:rPr>
        <w:t>“</w:t>
      </w:r>
      <w:r>
        <w:rPr>
          <w:bCs/>
          <w:color w:val="000000"/>
          <w:sz w:val="26"/>
          <w:szCs w:val="26"/>
        </w:rPr>
        <w:t xml:space="preserve">. </w:t>
      </w:r>
    </w:p>
    <w:p w:rsidR="00242F65" w:rsidRDefault="00242F65" w:rsidP="00A72AB5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За съжаление тук не можем да се похвалим с в</w:t>
      </w:r>
      <w:r w:rsidR="00A72AB5">
        <w:rPr>
          <w:bCs/>
          <w:color w:val="000000"/>
          <w:sz w:val="26"/>
          <w:szCs w:val="26"/>
        </w:rPr>
        <w:t xml:space="preserve">ъвеждане на очаквания </w:t>
      </w:r>
      <w:r>
        <w:rPr>
          <w:bCs/>
          <w:color w:val="000000"/>
          <w:sz w:val="26"/>
          <w:szCs w:val="26"/>
        </w:rPr>
        <w:t>регистър в онлайн режим</w:t>
      </w:r>
      <w:r w:rsidR="00A72AB5">
        <w:rPr>
          <w:bCs/>
          <w:color w:val="000000"/>
          <w:sz w:val="26"/>
          <w:szCs w:val="26"/>
        </w:rPr>
        <w:t>. И</w:t>
      </w:r>
      <w:r>
        <w:rPr>
          <w:bCs/>
          <w:color w:val="000000"/>
          <w:sz w:val="26"/>
          <w:szCs w:val="26"/>
        </w:rPr>
        <w:t xml:space="preserve">нформация може да се получи само от периодично подаваната информация от протоколи на комисията по регистрите. В подкомисията по ЕАСТ към Комисията по регистрите се постигна много по отношение на изискванията към всички общи случаи, като се натрупа практика и в решаването на конкретни казуси. Намаляха случаите на противоречия между предложенията на регионалните колегии и централната комисия. </w:t>
      </w:r>
    </w:p>
    <w:p w:rsidR="00242F65" w:rsidRDefault="00242F65" w:rsidP="00242F6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Въз основа на предложенията, получени от </w:t>
      </w:r>
      <w:proofErr w:type="spellStart"/>
      <w:r>
        <w:rPr>
          <w:bCs/>
          <w:color w:val="000000"/>
          <w:sz w:val="26"/>
          <w:szCs w:val="26"/>
        </w:rPr>
        <w:t>регоналните</w:t>
      </w:r>
      <w:proofErr w:type="spellEnd"/>
      <w:r>
        <w:rPr>
          <w:bCs/>
          <w:color w:val="000000"/>
          <w:sz w:val="26"/>
          <w:szCs w:val="26"/>
        </w:rPr>
        <w:t xml:space="preserve"> колегии предлагаме на вниманието ви и актуализирания списък на експертите (</w:t>
      </w:r>
      <w:r w:rsidRPr="007B7D40">
        <w:rPr>
          <w:b/>
          <w:bCs/>
          <w:i/>
          <w:color w:val="0000FF"/>
          <w:sz w:val="26"/>
          <w:szCs w:val="26"/>
          <w:u w:val="single"/>
        </w:rPr>
        <w:t>приложение 2</w:t>
      </w:r>
      <w:r>
        <w:rPr>
          <w:bCs/>
          <w:color w:val="000000"/>
          <w:sz w:val="26"/>
          <w:szCs w:val="26"/>
        </w:rPr>
        <w:t xml:space="preserve">), който </w:t>
      </w:r>
      <w:r w:rsidR="00A72AB5">
        <w:rPr>
          <w:bCs/>
          <w:color w:val="000000"/>
          <w:sz w:val="26"/>
          <w:szCs w:val="26"/>
        </w:rPr>
        <w:t xml:space="preserve">както и друга година </w:t>
      </w:r>
      <w:r>
        <w:rPr>
          <w:bCs/>
          <w:color w:val="000000"/>
          <w:sz w:val="26"/>
          <w:szCs w:val="26"/>
        </w:rPr>
        <w:t>може да остане „отворен” до предаването на материалите от това общо събрание в Централния офис на КИИП</w:t>
      </w:r>
      <w:r w:rsidR="00173185">
        <w:rPr>
          <w:bCs/>
          <w:color w:val="000000"/>
          <w:sz w:val="26"/>
          <w:szCs w:val="26"/>
        </w:rPr>
        <w:t xml:space="preserve"> (15 април 2015 г.)</w:t>
      </w:r>
      <w:r>
        <w:rPr>
          <w:bCs/>
          <w:color w:val="000000"/>
          <w:sz w:val="26"/>
          <w:szCs w:val="26"/>
        </w:rPr>
        <w:t xml:space="preserve">. </w:t>
      </w:r>
    </w:p>
    <w:p w:rsidR="00242F65" w:rsidRDefault="00242F65" w:rsidP="00242F65">
      <w:pPr>
        <w:ind w:left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 т. 5  Осъществяване на контакти с регионалните професионални секции (РПС). </w:t>
      </w:r>
    </w:p>
    <w:p w:rsidR="00242F65" w:rsidRDefault="00242F65" w:rsidP="00242F65">
      <w:pPr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</w:rPr>
        <w:t>Имаме основание  да  отчетем, че контактите на ръководството на секцията с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РПС секции са на сравнително добро равнище. </w:t>
      </w:r>
      <w:r w:rsidR="00A72AB5">
        <w:rPr>
          <w:sz w:val="26"/>
          <w:szCs w:val="26"/>
        </w:rPr>
        <w:t>За първи път тази година с изключителното съдействие на колегите от РК – Пловдив се осъществи една национална среща, на която се развиха ползотворни дискусии. Това без съмнение е една чудесна форма за сближаване и опознаване на колеги от различни регионални колегии. Ако най-после се стигне отново до възстановяване на практиката за формиране на отделен бюджет (така, както беше в мандата 2003 – 2007 г.) на отделните професионални секции, считаме че ще се повиши значително ефективността на всички структурни звена в КИИП.</w:t>
      </w:r>
      <w:r>
        <w:rPr>
          <w:sz w:val="26"/>
          <w:szCs w:val="26"/>
        </w:rPr>
        <w:t xml:space="preserve"> 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 съжаление продължава да страда комуникацията ми с колеги от провинциалните РК и тя не беше на желаното ниво. Малко се отзоваха на искането ми да подадат своевременно информация за дейността през изтеклия отчетен период. Както обикновено </w:t>
      </w:r>
      <w:r w:rsidR="00A72AB5">
        <w:rPr>
          <w:sz w:val="26"/>
          <w:szCs w:val="26"/>
        </w:rPr>
        <w:t>РК – Варна кор</w:t>
      </w:r>
      <w:r>
        <w:rPr>
          <w:sz w:val="26"/>
          <w:szCs w:val="26"/>
        </w:rPr>
        <w:t xml:space="preserve">ектно и отговорно се отнесе към това задължение – още преди да отправя официалната покана и подсещане за това. От своя страна съм се стремил да участвам в многобройните мероприятия на РК-София град, като </w:t>
      </w:r>
      <w:proofErr w:type="spellStart"/>
      <w:r>
        <w:rPr>
          <w:sz w:val="26"/>
          <w:szCs w:val="26"/>
        </w:rPr>
        <w:t>нейн</w:t>
      </w:r>
      <w:proofErr w:type="spellEnd"/>
      <w:r>
        <w:rPr>
          <w:sz w:val="26"/>
          <w:szCs w:val="26"/>
        </w:rPr>
        <w:t xml:space="preserve"> член. Сътрудничеството ни с РК- София</w:t>
      </w:r>
      <w:r w:rsidR="009A3D50">
        <w:rPr>
          <w:sz w:val="26"/>
          <w:szCs w:val="26"/>
        </w:rPr>
        <w:t xml:space="preserve">, както споменах вече </w:t>
      </w:r>
      <w:r>
        <w:rPr>
          <w:sz w:val="26"/>
          <w:szCs w:val="26"/>
        </w:rPr>
        <w:t xml:space="preserve">е ползотворно и успешно. </w:t>
      </w:r>
    </w:p>
    <w:p w:rsidR="00242F65" w:rsidRDefault="00242F65" w:rsidP="00A6178B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 xml:space="preserve">По т. 6. Мероприятия, свързани с квалификацията на кадрите. </w:t>
      </w:r>
    </w:p>
    <w:p w:rsidR="00242F65" w:rsidRDefault="00242F65" w:rsidP="007E4BB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През годината много колеги успяха да се включат в мероприя</w:t>
      </w:r>
      <w:r w:rsidR="00A6178B">
        <w:rPr>
          <w:bCs/>
          <w:color w:val="000000"/>
          <w:sz w:val="26"/>
          <w:szCs w:val="26"/>
        </w:rPr>
        <w:t>тия</w:t>
      </w:r>
      <w:r>
        <w:rPr>
          <w:bCs/>
          <w:color w:val="000000"/>
          <w:sz w:val="26"/>
          <w:szCs w:val="26"/>
        </w:rPr>
        <w:t xml:space="preserve">та, реализирани чрез регионалните колегии. Въпреки желанието ми да ви информирам по-подробно по реализираните обучения не получих навреме информация от всички колегии и затова съм се доверил на информацията, подадена от Централния офис и отразена в </w:t>
      </w:r>
      <w:r w:rsidRPr="007B7D40">
        <w:rPr>
          <w:b/>
          <w:bCs/>
          <w:i/>
          <w:color w:val="0000FF"/>
          <w:sz w:val="26"/>
          <w:szCs w:val="26"/>
          <w:u w:val="single"/>
        </w:rPr>
        <w:t>прил</w:t>
      </w:r>
      <w:r w:rsidR="007B7D40" w:rsidRPr="007B7D40">
        <w:rPr>
          <w:b/>
          <w:bCs/>
          <w:i/>
          <w:color w:val="0000FF"/>
          <w:sz w:val="26"/>
          <w:szCs w:val="26"/>
          <w:u w:val="single"/>
        </w:rPr>
        <w:t>ожение</w:t>
      </w:r>
      <w:r w:rsidRPr="007B7D40">
        <w:rPr>
          <w:b/>
          <w:bCs/>
          <w:i/>
          <w:color w:val="0000FF"/>
          <w:sz w:val="26"/>
          <w:szCs w:val="26"/>
          <w:u w:val="single"/>
        </w:rPr>
        <w:t>. 3</w:t>
      </w:r>
      <w:r>
        <w:rPr>
          <w:b/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</w:rPr>
        <w:t xml:space="preserve"> Ще приема всяка постъпила допълнително информация от вас да бъде добавена в този отчет при окончателното оформяне на отчета. </w:t>
      </w:r>
      <w:r w:rsidR="007E4BBC">
        <w:rPr>
          <w:bCs/>
          <w:color w:val="000000"/>
          <w:sz w:val="26"/>
          <w:szCs w:val="26"/>
        </w:rPr>
        <w:t xml:space="preserve">В интерес на истината има и конкретна програма от РК – София, но тъй като не е част от официалния отчет не съм я включил в приложение 3. Готов съм въз основа на вашите предложения да формираме окончателна обобщена програма за реализация в следващия мандат. </w:t>
      </w:r>
      <w:r>
        <w:rPr>
          <w:bCs/>
          <w:color w:val="000000"/>
          <w:sz w:val="26"/>
          <w:szCs w:val="26"/>
        </w:rPr>
        <w:t xml:space="preserve">И за тази </w:t>
      </w:r>
      <w:r w:rsidR="007E4BBC">
        <w:rPr>
          <w:bCs/>
          <w:color w:val="000000"/>
          <w:sz w:val="26"/>
          <w:szCs w:val="26"/>
        </w:rPr>
        <w:t xml:space="preserve">се надяваме, </w:t>
      </w:r>
      <w:r>
        <w:rPr>
          <w:bCs/>
          <w:color w:val="000000"/>
          <w:sz w:val="26"/>
          <w:szCs w:val="26"/>
        </w:rPr>
        <w:t xml:space="preserve">че ще се резервират средства във връзка с обучението по предложените теми, които обобщено са отразени в </w:t>
      </w:r>
      <w:r w:rsidRPr="007B7D40">
        <w:rPr>
          <w:b/>
          <w:bCs/>
          <w:i/>
          <w:color w:val="0000FF"/>
          <w:sz w:val="26"/>
          <w:szCs w:val="26"/>
          <w:u w:val="single"/>
        </w:rPr>
        <w:t>прил</w:t>
      </w:r>
      <w:r w:rsidR="007B7D40" w:rsidRPr="007B7D40">
        <w:rPr>
          <w:b/>
          <w:bCs/>
          <w:i/>
          <w:color w:val="0000FF"/>
          <w:sz w:val="26"/>
          <w:szCs w:val="26"/>
          <w:u w:val="single"/>
        </w:rPr>
        <w:t xml:space="preserve">ожение </w:t>
      </w:r>
      <w:r w:rsidRPr="007B7D40">
        <w:rPr>
          <w:b/>
          <w:bCs/>
          <w:i/>
          <w:color w:val="0000FF"/>
          <w:sz w:val="26"/>
          <w:szCs w:val="26"/>
          <w:u w:val="single"/>
        </w:rPr>
        <w:t>4.</w:t>
      </w:r>
      <w:r w:rsidRPr="009A3D50">
        <w:rPr>
          <w:b/>
          <w:bCs/>
          <w:color w:val="000000"/>
          <w:sz w:val="26"/>
          <w:szCs w:val="26"/>
        </w:rPr>
        <w:t xml:space="preserve"> </w:t>
      </w:r>
    </w:p>
    <w:p w:rsidR="00242F65" w:rsidRDefault="00242F65" w:rsidP="00242F6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През годината много колеги преминаха през квалификационните курсове за предоставяне на проектантски услуги по комплексната специалност „Пожарна безопасност“</w:t>
      </w:r>
      <w:r w:rsidR="00A6178B">
        <w:rPr>
          <w:bCs/>
          <w:color w:val="000000"/>
          <w:sz w:val="26"/>
          <w:szCs w:val="26"/>
        </w:rPr>
        <w:t>, както и върху „Наредбата за отстраняване на отпадъци“</w:t>
      </w:r>
      <w:r>
        <w:rPr>
          <w:bCs/>
          <w:color w:val="000000"/>
          <w:sz w:val="26"/>
          <w:szCs w:val="26"/>
        </w:rPr>
        <w:t>. Бяха предоставени (в някои случаи след поискване) и удостоверения на колеги за проектиране на съответния раздел в рамките на част „Електрическа“ на проекта.</w:t>
      </w:r>
    </w:p>
    <w:p w:rsidR="00242F65" w:rsidRPr="00F64005" w:rsidRDefault="00242F65" w:rsidP="00242F65">
      <w:pPr>
        <w:ind w:firstLine="708"/>
        <w:jc w:val="both"/>
        <w:outlineLvl w:val="3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Известно е, че системата на обучение във висшите училища дава необходимата база от знания за предоставяне на проектантски услуги в областта на инвестиционното проектиране на ниво ОПП, но процесите  предизвикани от </w:t>
      </w:r>
      <w:r>
        <w:rPr>
          <w:sz w:val="26"/>
          <w:szCs w:val="26"/>
        </w:rPr>
        <w:t>присъединяването на страната ни към Европейския съюз, необходимостта от привеждане на нормативната база в съответствие с Регламентите и Директивите на ЕС, налагат необходимостта от продължаващо обучение в много по-гъвкави форми от прилаганите във висшите училища, които  да са обвързани със специфични форми на обучение, учебни планове и пр.</w:t>
      </w:r>
      <w:r w:rsidR="007E4BBC">
        <w:rPr>
          <w:sz w:val="26"/>
          <w:szCs w:val="26"/>
        </w:rPr>
        <w:t xml:space="preserve"> В края на 2015 г. ФНТД със </w:t>
      </w:r>
      <w:r w:rsidR="007E4BBC">
        <w:rPr>
          <w:sz w:val="26"/>
          <w:szCs w:val="26"/>
        </w:rPr>
        <w:lastRenderedPageBreak/>
        <w:t xml:space="preserve">съдействието на КИИП проведе </w:t>
      </w:r>
      <w:r w:rsidR="007E4BBC" w:rsidRPr="00F64005">
        <w:rPr>
          <w:sz w:val="26"/>
          <w:szCs w:val="26"/>
        </w:rPr>
        <w:t>национал</w:t>
      </w:r>
      <w:r w:rsidR="009E611F" w:rsidRPr="00F64005">
        <w:rPr>
          <w:sz w:val="26"/>
          <w:szCs w:val="26"/>
        </w:rPr>
        <w:t xml:space="preserve">ен </w:t>
      </w:r>
      <w:r w:rsidR="009E611F" w:rsidRPr="00F64005">
        <w:rPr>
          <w:sz w:val="26"/>
          <w:szCs w:val="26"/>
        </w:rPr>
        <w:t>семинар по проблемите на висшето образование по електротехника и осветителна техника</w:t>
      </w:r>
      <w:r w:rsidR="00F64005">
        <w:rPr>
          <w:sz w:val="26"/>
          <w:szCs w:val="26"/>
        </w:rPr>
        <w:t xml:space="preserve">. със  свои презентации участваха нашите членове </w:t>
      </w:r>
      <w:proofErr w:type="spellStart"/>
      <w:r w:rsidR="00F64005">
        <w:rPr>
          <w:sz w:val="26"/>
          <w:szCs w:val="26"/>
        </w:rPr>
        <w:t>Кр</w:t>
      </w:r>
      <w:proofErr w:type="spellEnd"/>
      <w:r w:rsidR="00F64005">
        <w:rPr>
          <w:sz w:val="26"/>
          <w:szCs w:val="26"/>
        </w:rPr>
        <w:t xml:space="preserve">. Велинов, Р. Кючуков, Л. Грънчаров и Пл. Цанков. На семинара се обсъдиха важни теми и се приеха </w:t>
      </w:r>
      <w:r w:rsidR="008764F5">
        <w:rPr>
          <w:sz w:val="26"/>
          <w:szCs w:val="26"/>
        </w:rPr>
        <w:t>решения, които очакваме да повишат качеството на проектите.</w:t>
      </w:r>
    </w:p>
    <w:p w:rsidR="00242F65" w:rsidRDefault="00242F65" w:rsidP="00242F65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От получените отчети и от непосредствените ми впечатления и тази година регионалните колегии в по-големите градове като РК-София, РК-Пловдив, РК-Варна, РК-Бургас, РК- Ст. Загора, РК–В.Търново се отличиха със сериозни реализирани програми, както и с конкретни предложения</w:t>
      </w:r>
      <w:r w:rsidR="00A6178B">
        <w:rPr>
          <w:bCs/>
          <w:color w:val="000000"/>
          <w:sz w:val="26"/>
          <w:szCs w:val="26"/>
        </w:rPr>
        <w:t xml:space="preserve">–Варна,София, </w:t>
      </w:r>
      <w:r w:rsidR="00F452F9">
        <w:rPr>
          <w:bCs/>
          <w:color w:val="000000"/>
          <w:sz w:val="26"/>
          <w:szCs w:val="26"/>
        </w:rPr>
        <w:t>Пловдив</w:t>
      </w:r>
      <w:r w:rsidR="00A6178B">
        <w:rPr>
          <w:bCs/>
          <w:color w:val="000000"/>
          <w:sz w:val="26"/>
          <w:szCs w:val="26"/>
        </w:rPr>
        <w:t xml:space="preserve">. </w:t>
      </w:r>
      <w:r>
        <w:rPr>
          <w:bCs/>
          <w:color w:val="000000"/>
          <w:sz w:val="26"/>
          <w:szCs w:val="26"/>
        </w:rPr>
        <w:t>Специално искам да им благодаря, както и на колегите, които своевременно изпратиха информация за проведените отчетни събрания.</w:t>
      </w:r>
    </w:p>
    <w:p w:rsidR="008764F5" w:rsidRDefault="00242F65" w:rsidP="00242F65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Искам да отделя и малко време за разработваните от дълго време изисквания към професионалната квалификация</w:t>
      </w:r>
      <w:r w:rsidRPr="008764F5">
        <w:rPr>
          <w:iCs/>
          <w:sz w:val="16"/>
          <w:szCs w:val="16"/>
        </w:rPr>
        <w:t xml:space="preserve"> </w:t>
      </w:r>
      <w:r>
        <w:rPr>
          <w:iCs/>
          <w:sz w:val="26"/>
          <w:szCs w:val="26"/>
        </w:rPr>
        <w:t>във</w:t>
      </w:r>
      <w:r w:rsidRPr="008764F5">
        <w:rPr>
          <w:iCs/>
          <w:sz w:val="16"/>
          <w:szCs w:val="16"/>
        </w:rPr>
        <w:t xml:space="preserve"> </w:t>
      </w:r>
      <w:r>
        <w:rPr>
          <w:iCs/>
          <w:sz w:val="26"/>
          <w:szCs w:val="26"/>
        </w:rPr>
        <w:t>връзка</w:t>
      </w:r>
      <w:r w:rsidRPr="008764F5">
        <w:rPr>
          <w:iCs/>
          <w:sz w:val="16"/>
          <w:szCs w:val="16"/>
        </w:rPr>
        <w:t xml:space="preserve"> </w:t>
      </w:r>
      <w:r>
        <w:rPr>
          <w:iCs/>
          <w:sz w:val="26"/>
          <w:szCs w:val="26"/>
        </w:rPr>
        <w:t xml:space="preserve">с характера на правоспособността. </w:t>
      </w:r>
      <w:r w:rsidR="008764F5">
        <w:rPr>
          <w:iCs/>
          <w:sz w:val="26"/>
          <w:szCs w:val="26"/>
        </w:rPr>
        <w:t>Надяваме се, че тази година ще приключи сагата с регламентиране изискванията към регулираните професии – вече беше публикувана наредбата за професията „архитект“ и „геодезист“. Наред пред органите на МОН са и останалите регулирани професии с висше образование. За нас е от изключително значение да се потвърди претенцията ни за упражняване на тази професия да има изискване инженерите да са „учили“ за инженер от едно и също научно направление най-малко 5 години, като всяка ОКС е защитена с конкретна диплома, а не с академични справки, които формално удостоверяват взети изпити и дават кредити с единствената цел – да покрият обещанията на висшите училища, че ще издадат диплома</w:t>
      </w:r>
      <w:r w:rsidR="00D14305">
        <w:rPr>
          <w:iCs/>
          <w:sz w:val="26"/>
          <w:szCs w:val="26"/>
        </w:rPr>
        <w:t xml:space="preserve"> </w:t>
      </w:r>
      <w:r w:rsidR="008764F5">
        <w:rPr>
          <w:iCs/>
          <w:sz w:val="26"/>
          <w:szCs w:val="26"/>
        </w:rPr>
        <w:t>за</w:t>
      </w:r>
      <w:r w:rsidR="00D14305">
        <w:rPr>
          <w:iCs/>
          <w:sz w:val="26"/>
          <w:szCs w:val="26"/>
        </w:rPr>
        <w:t xml:space="preserve"> „инженер“.</w:t>
      </w:r>
      <w:r w:rsidR="008764F5">
        <w:rPr>
          <w:iCs/>
          <w:sz w:val="26"/>
          <w:szCs w:val="26"/>
        </w:rPr>
        <w:t xml:space="preserve"> </w:t>
      </w:r>
    </w:p>
    <w:p w:rsidR="00242F65" w:rsidRDefault="00242F65" w:rsidP="00A61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6178B">
        <w:rPr>
          <w:sz w:val="26"/>
          <w:szCs w:val="26"/>
        </w:rPr>
        <w:tab/>
        <w:t xml:space="preserve">По отношение включване в регистрите за ПП на лица на база единствено дипломата за висше образование, </w:t>
      </w:r>
      <w:r w:rsidR="00D14305">
        <w:rPr>
          <w:sz w:val="26"/>
          <w:szCs w:val="26"/>
        </w:rPr>
        <w:t xml:space="preserve">продължавам да </w:t>
      </w:r>
      <w:r w:rsidR="00A6178B">
        <w:rPr>
          <w:sz w:val="26"/>
          <w:szCs w:val="26"/>
        </w:rPr>
        <w:t>считам</w:t>
      </w:r>
      <w:r w:rsidR="00D14305">
        <w:rPr>
          <w:sz w:val="26"/>
          <w:szCs w:val="26"/>
        </w:rPr>
        <w:t>,</w:t>
      </w:r>
      <w:r w:rsidR="00A6178B" w:rsidRPr="009A3D50">
        <w:rPr>
          <w:sz w:val="16"/>
          <w:szCs w:val="16"/>
        </w:rPr>
        <w:t xml:space="preserve"> </w:t>
      </w:r>
      <w:r w:rsidR="00A6178B">
        <w:rPr>
          <w:sz w:val="26"/>
          <w:szCs w:val="26"/>
        </w:rPr>
        <w:t xml:space="preserve">че е редно да отстояваме заявената </w:t>
      </w:r>
      <w:r w:rsidR="00D14305">
        <w:rPr>
          <w:sz w:val="26"/>
          <w:szCs w:val="26"/>
        </w:rPr>
        <w:t xml:space="preserve">още през </w:t>
      </w:r>
      <w:r w:rsidR="009A3D50">
        <w:rPr>
          <w:sz w:val="26"/>
          <w:szCs w:val="26"/>
        </w:rPr>
        <w:t>2014 г.</w:t>
      </w:r>
      <w:r w:rsidR="00A6178B">
        <w:rPr>
          <w:sz w:val="26"/>
          <w:szCs w:val="26"/>
        </w:rPr>
        <w:t>позиц</w:t>
      </w:r>
      <w:r w:rsidR="009A3D50">
        <w:rPr>
          <w:sz w:val="26"/>
          <w:szCs w:val="26"/>
        </w:rPr>
        <w:t>ия</w:t>
      </w:r>
      <w:r w:rsidR="00A6178B">
        <w:rPr>
          <w:sz w:val="26"/>
          <w:szCs w:val="26"/>
        </w:rPr>
        <w:t>, а именно: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ОПП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Най-малко 240 кредита – само за ниво 6Б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бакалавър след 4 г. проектантски стаж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както и за магистър – при директна магистърска програма </w:t>
      </w:r>
      <w:r w:rsidR="009A3D50">
        <w:rPr>
          <w:rFonts w:ascii="Times New Roman" w:hAnsi="Times New Roman" w:cs="Times New Roman"/>
          <w:sz w:val="26"/>
          <w:szCs w:val="26"/>
        </w:rPr>
        <w:t xml:space="preserve">във висше техническо училище </w:t>
      </w:r>
      <w:r>
        <w:rPr>
          <w:rFonts w:ascii="Times New Roman" w:hAnsi="Times New Roman" w:cs="Times New Roman"/>
          <w:sz w:val="26"/>
          <w:szCs w:val="26"/>
        </w:rPr>
        <w:t xml:space="preserve">или магистър след бакалавър от съответното научно направление и най-малко 300 кредита; 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ППП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За магистър–при директна магистърска програма или магистър след бакалавър от научните направления 5.2 и 5.3 от ЗВО и най-малко 300 кредита и съответния проект. стаж (съгласно Устава – 2 г. в проектантско бюро с проектанти от същото направление или 4 год. на свободна практика)</w:t>
      </w:r>
      <w:r w:rsidR="009A3D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F65" w:rsidRDefault="00E8082A" w:rsidP="00584A8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42F65">
        <w:rPr>
          <w:rFonts w:ascii="Times New Roman" w:hAnsi="Times New Roman" w:cs="Times New Roman"/>
          <w:sz w:val="26"/>
          <w:szCs w:val="26"/>
        </w:rPr>
        <w:t xml:space="preserve">Считаме, че </w:t>
      </w:r>
      <w:proofErr w:type="spellStart"/>
      <w:r w:rsidR="00242F65">
        <w:rPr>
          <w:rFonts w:ascii="Times New Roman" w:hAnsi="Times New Roman" w:cs="Times New Roman"/>
          <w:sz w:val="26"/>
          <w:szCs w:val="26"/>
        </w:rPr>
        <w:t>последващите</w:t>
      </w:r>
      <w:proofErr w:type="spellEnd"/>
      <w:r w:rsidR="00242F65">
        <w:rPr>
          <w:rFonts w:ascii="Times New Roman" w:hAnsi="Times New Roman" w:cs="Times New Roman"/>
          <w:sz w:val="26"/>
          <w:szCs w:val="26"/>
        </w:rPr>
        <w:t xml:space="preserve"> 60/120 кредита </w:t>
      </w:r>
      <w:r w:rsidR="00277800">
        <w:rPr>
          <w:rFonts w:ascii="Times New Roman" w:hAnsi="Times New Roman" w:cs="Times New Roman"/>
          <w:sz w:val="26"/>
          <w:szCs w:val="26"/>
        </w:rPr>
        <w:t xml:space="preserve">към тези за „професионален бакалавър“ и придобиване на </w:t>
      </w:r>
      <w:r w:rsidR="00242F65">
        <w:rPr>
          <w:rFonts w:ascii="Times New Roman" w:hAnsi="Times New Roman" w:cs="Times New Roman"/>
          <w:sz w:val="26"/>
          <w:szCs w:val="26"/>
        </w:rPr>
        <w:t>ОКС „бакалавър” не са достатъчни за повече от ОПП.</w:t>
      </w:r>
      <w:r w:rsidR="00D14305">
        <w:rPr>
          <w:rFonts w:ascii="Times New Roman" w:hAnsi="Times New Roman" w:cs="Times New Roman"/>
          <w:sz w:val="26"/>
          <w:szCs w:val="26"/>
        </w:rPr>
        <w:t xml:space="preserve"> Не случайно ЗКАИИП сочи, че магистрите притежават ОПП,</w:t>
      </w:r>
      <w:r w:rsidR="00277800">
        <w:rPr>
          <w:rFonts w:ascii="Times New Roman" w:hAnsi="Times New Roman" w:cs="Times New Roman"/>
          <w:sz w:val="26"/>
          <w:szCs w:val="26"/>
        </w:rPr>
        <w:t xml:space="preserve"> </w:t>
      </w:r>
      <w:r w:rsidR="00D14305">
        <w:rPr>
          <w:rFonts w:ascii="Times New Roman" w:hAnsi="Times New Roman" w:cs="Times New Roman"/>
          <w:sz w:val="26"/>
          <w:szCs w:val="26"/>
        </w:rPr>
        <w:t xml:space="preserve">докато на бакалаврите такава трябва да се признае след </w:t>
      </w:r>
      <w:r w:rsidR="00584A82">
        <w:rPr>
          <w:rFonts w:ascii="Times New Roman" w:hAnsi="Times New Roman" w:cs="Times New Roman"/>
          <w:sz w:val="26"/>
          <w:szCs w:val="26"/>
        </w:rPr>
        <w:t xml:space="preserve">натрупване </w:t>
      </w:r>
      <w:r w:rsidR="00D14305">
        <w:rPr>
          <w:rFonts w:ascii="Times New Roman" w:hAnsi="Times New Roman" w:cs="Times New Roman"/>
          <w:sz w:val="26"/>
          <w:szCs w:val="26"/>
        </w:rPr>
        <w:t xml:space="preserve">определен опит. Но опитът само не е достатъчен. Правоспособността е наличие на знания, опит и компетентност. Институцията, която установява наличието на тези три компонента за регулираната професия „инженер-проектант“ </w:t>
      </w:r>
      <w:r w:rsidR="00584A82">
        <w:rPr>
          <w:rFonts w:ascii="Times New Roman" w:hAnsi="Times New Roman" w:cs="Times New Roman"/>
          <w:sz w:val="26"/>
          <w:szCs w:val="26"/>
        </w:rPr>
        <w:t xml:space="preserve">законово </w:t>
      </w:r>
      <w:r w:rsidR="00D14305">
        <w:rPr>
          <w:rFonts w:ascii="Times New Roman" w:hAnsi="Times New Roman" w:cs="Times New Roman"/>
          <w:sz w:val="26"/>
          <w:szCs w:val="26"/>
        </w:rPr>
        <w:t>е КИИП</w:t>
      </w:r>
      <w:r w:rsidR="00584A82">
        <w:rPr>
          <w:rFonts w:ascii="Times New Roman" w:hAnsi="Times New Roman" w:cs="Times New Roman"/>
          <w:sz w:val="26"/>
          <w:szCs w:val="26"/>
        </w:rPr>
        <w:t>.</w:t>
      </w:r>
      <w:r w:rsidR="00D143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778A">
        <w:rPr>
          <w:rFonts w:ascii="Times New Roman" w:hAnsi="Times New Roman" w:cs="Times New Roman"/>
          <w:sz w:val="26"/>
          <w:szCs w:val="26"/>
        </w:rPr>
        <w:t>Важно е д</w:t>
      </w:r>
      <w:r>
        <w:rPr>
          <w:rFonts w:ascii="Times New Roman" w:hAnsi="Times New Roman" w:cs="Times New Roman"/>
          <w:sz w:val="26"/>
          <w:szCs w:val="26"/>
        </w:rPr>
        <w:t xml:space="preserve">а се публикува на страницата на съответната РК/НПС разширен регистър, който да съдържа (без тези по „Закона за защита на личните данни“)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за: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частта/частите на проекта, за които проектантът 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оправомощен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протоколното решение (№ и дата/година), с което проектантът 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оправомощен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FF3627" w:rsidRDefault="00FF3627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висшето </w:t>
      </w:r>
      <w:r w:rsidR="00AA2EFF" w:rsidRPr="00173185">
        <w:rPr>
          <w:rFonts w:ascii="Times New Roman" w:hAnsi="Times New Roman" w:cs="Times New Roman"/>
          <w:b/>
          <w:sz w:val="26"/>
          <w:szCs w:val="26"/>
        </w:rPr>
        <w:t>техническо</w:t>
      </w:r>
      <w:r w:rsidR="00AA2E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училище, в което колегата се е дипломирал</w:t>
      </w:r>
      <w:r w:rsidR="007E2FFF">
        <w:rPr>
          <w:rFonts w:ascii="Times New Roman" w:hAnsi="Times New Roman" w:cs="Times New Roman"/>
          <w:sz w:val="26"/>
          <w:szCs w:val="26"/>
        </w:rPr>
        <w:t xml:space="preserve"> (при наличие на </w:t>
      </w:r>
      <w:r w:rsidR="00D11925">
        <w:rPr>
          <w:rFonts w:ascii="Times New Roman" w:hAnsi="Times New Roman" w:cs="Times New Roman"/>
          <w:sz w:val="26"/>
          <w:szCs w:val="26"/>
        </w:rPr>
        <w:t>две ОКС – две дипломи)</w:t>
      </w:r>
      <w:r w:rsidR="00173185">
        <w:rPr>
          <w:rFonts w:ascii="Times New Roman" w:hAnsi="Times New Roman" w:cs="Times New Roman"/>
          <w:sz w:val="26"/>
          <w:szCs w:val="26"/>
        </w:rPr>
        <w:t>, кога</w:t>
      </w:r>
      <w:r>
        <w:rPr>
          <w:rFonts w:ascii="Times New Roman" w:hAnsi="Times New Roman" w:cs="Times New Roman"/>
          <w:sz w:val="26"/>
          <w:szCs w:val="26"/>
        </w:rPr>
        <w:t xml:space="preserve"> и специалността му като инженер;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адресът на електронната поща на всеки правоспособен проектант.  </w:t>
      </w:r>
    </w:p>
    <w:p w:rsidR="00FF3627" w:rsidRDefault="00E57B6B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84A82">
        <w:rPr>
          <w:rFonts w:ascii="Times New Roman" w:hAnsi="Times New Roman" w:cs="Times New Roman"/>
          <w:sz w:val="26"/>
          <w:szCs w:val="26"/>
        </w:rPr>
        <w:t xml:space="preserve">     </w:t>
      </w:r>
      <w:r w:rsidR="00FF3627">
        <w:rPr>
          <w:rFonts w:ascii="Times New Roman" w:hAnsi="Times New Roman" w:cs="Times New Roman"/>
          <w:sz w:val="26"/>
          <w:szCs w:val="26"/>
        </w:rPr>
        <w:t xml:space="preserve">Това </w:t>
      </w:r>
      <w:r w:rsidR="00584A82">
        <w:rPr>
          <w:rFonts w:ascii="Times New Roman" w:hAnsi="Times New Roman" w:cs="Times New Roman"/>
          <w:sz w:val="26"/>
          <w:szCs w:val="26"/>
        </w:rPr>
        <w:t xml:space="preserve">лесно може да се постигне, ако вместо тълкувателни решения и писма-указания се разработи един основополагащ документ „Наредба за </w:t>
      </w:r>
      <w:r w:rsidR="007E2FFF">
        <w:rPr>
          <w:rFonts w:ascii="Times New Roman" w:hAnsi="Times New Roman" w:cs="Times New Roman"/>
          <w:sz w:val="26"/>
          <w:szCs w:val="26"/>
        </w:rPr>
        <w:t>водене на регистрите в КИИП и обстоятелствата за вписване в тях“. Това щ</w:t>
      </w:r>
      <w:r w:rsidR="00FF3627">
        <w:rPr>
          <w:rFonts w:ascii="Times New Roman" w:hAnsi="Times New Roman" w:cs="Times New Roman"/>
          <w:sz w:val="26"/>
          <w:szCs w:val="26"/>
        </w:rPr>
        <w:t xml:space="preserve">е </w:t>
      </w:r>
      <w:r w:rsidR="000D778A">
        <w:rPr>
          <w:rFonts w:ascii="Times New Roman" w:hAnsi="Times New Roman" w:cs="Times New Roman"/>
          <w:sz w:val="26"/>
          <w:szCs w:val="26"/>
        </w:rPr>
        <w:t xml:space="preserve">ни </w:t>
      </w:r>
      <w:r w:rsidR="00FF3627">
        <w:rPr>
          <w:rFonts w:ascii="Times New Roman" w:hAnsi="Times New Roman" w:cs="Times New Roman"/>
          <w:sz w:val="26"/>
          <w:szCs w:val="26"/>
        </w:rPr>
        <w:t xml:space="preserve">облекчи </w:t>
      </w:r>
      <w:r w:rsidR="000D778A">
        <w:rPr>
          <w:rFonts w:ascii="Times New Roman" w:hAnsi="Times New Roman" w:cs="Times New Roman"/>
          <w:sz w:val="26"/>
          <w:szCs w:val="26"/>
        </w:rPr>
        <w:t xml:space="preserve">значително </w:t>
      </w:r>
      <w:r w:rsidR="00FF3627">
        <w:rPr>
          <w:rFonts w:ascii="Times New Roman" w:hAnsi="Times New Roman" w:cs="Times New Roman"/>
          <w:sz w:val="26"/>
          <w:szCs w:val="26"/>
        </w:rPr>
        <w:t>в анализа за качеството на образованието и подготовката членове</w:t>
      </w:r>
      <w:r>
        <w:rPr>
          <w:rFonts w:ascii="Times New Roman" w:hAnsi="Times New Roman" w:cs="Times New Roman"/>
          <w:sz w:val="26"/>
          <w:szCs w:val="26"/>
        </w:rPr>
        <w:t>те ни</w:t>
      </w:r>
      <w:r w:rsidR="00FF3627">
        <w:rPr>
          <w:rFonts w:ascii="Times New Roman" w:hAnsi="Times New Roman" w:cs="Times New Roman"/>
          <w:sz w:val="26"/>
          <w:szCs w:val="26"/>
        </w:rPr>
        <w:t>.</w:t>
      </w:r>
      <w:r w:rsidR="007E2FFF">
        <w:rPr>
          <w:rFonts w:ascii="Times New Roman" w:hAnsi="Times New Roman" w:cs="Times New Roman"/>
          <w:sz w:val="26"/>
          <w:szCs w:val="26"/>
        </w:rPr>
        <w:t xml:space="preserve"> Има такова решение на ОС на КИИП, но за съжаление то не се изпълнява. Вместо това непрекъснато се кърпят всевъзможни наредби и инструкции, с което още повече се затлачва вътрешната нормативна база.</w:t>
      </w:r>
    </w:p>
    <w:p w:rsidR="000D778A" w:rsidRDefault="000D778A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Очаквам Вашите препоръки към този доклад сега и в рамките на следващите две седмици – до представянето му в Централния офис на КИИП.</w:t>
      </w:r>
    </w:p>
    <w:p w:rsidR="00DF365B" w:rsidRDefault="000D778A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Благодаря за вниманието!</w:t>
      </w:r>
      <w:r w:rsidR="007E2FF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365B" w:rsidSect="00AB1377">
      <w:pgSz w:w="11906" w:h="16838"/>
      <w:pgMar w:top="851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0B0"/>
    <w:multiLevelType w:val="hybridMultilevel"/>
    <w:tmpl w:val="FBCA40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62171"/>
    <w:multiLevelType w:val="hybridMultilevel"/>
    <w:tmpl w:val="F5B827F6"/>
    <w:lvl w:ilvl="0" w:tplc="73200FC8">
      <w:start w:val="1"/>
      <w:numFmt w:val="decimal"/>
      <w:lvlText w:val="%1."/>
      <w:lvlJc w:val="left"/>
      <w:pPr>
        <w:ind w:left="1125" w:hanging="67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2B4254D"/>
    <w:multiLevelType w:val="hybridMultilevel"/>
    <w:tmpl w:val="9EFCC948"/>
    <w:lvl w:ilvl="0" w:tplc="466C19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65"/>
    <w:rsid w:val="000240AC"/>
    <w:rsid w:val="0003768D"/>
    <w:rsid w:val="000D778A"/>
    <w:rsid w:val="00173185"/>
    <w:rsid w:val="001A2BD5"/>
    <w:rsid w:val="001D0352"/>
    <w:rsid w:val="001E07B0"/>
    <w:rsid w:val="002226E3"/>
    <w:rsid w:val="00242F65"/>
    <w:rsid w:val="00277800"/>
    <w:rsid w:val="002A1D7D"/>
    <w:rsid w:val="002D5B05"/>
    <w:rsid w:val="002F6A8F"/>
    <w:rsid w:val="00306EEA"/>
    <w:rsid w:val="003237F9"/>
    <w:rsid w:val="00411A2B"/>
    <w:rsid w:val="004704F3"/>
    <w:rsid w:val="004C2A3A"/>
    <w:rsid w:val="00542498"/>
    <w:rsid w:val="00550A46"/>
    <w:rsid w:val="00584A82"/>
    <w:rsid w:val="00592432"/>
    <w:rsid w:val="00595AE4"/>
    <w:rsid w:val="005B1D30"/>
    <w:rsid w:val="00655F44"/>
    <w:rsid w:val="006920C4"/>
    <w:rsid w:val="006E73A9"/>
    <w:rsid w:val="007053D2"/>
    <w:rsid w:val="007B7D40"/>
    <w:rsid w:val="007E2FFF"/>
    <w:rsid w:val="007E4BBC"/>
    <w:rsid w:val="00862ED8"/>
    <w:rsid w:val="008764F5"/>
    <w:rsid w:val="008E0D3C"/>
    <w:rsid w:val="008E73B4"/>
    <w:rsid w:val="008F2D19"/>
    <w:rsid w:val="009A3D50"/>
    <w:rsid w:val="009E611F"/>
    <w:rsid w:val="00A6178B"/>
    <w:rsid w:val="00A72AB5"/>
    <w:rsid w:val="00A94437"/>
    <w:rsid w:val="00AA2EFF"/>
    <w:rsid w:val="00AB1377"/>
    <w:rsid w:val="00B430EE"/>
    <w:rsid w:val="00BE49C0"/>
    <w:rsid w:val="00C10346"/>
    <w:rsid w:val="00C16982"/>
    <w:rsid w:val="00C67D47"/>
    <w:rsid w:val="00CA507B"/>
    <w:rsid w:val="00CB6B4B"/>
    <w:rsid w:val="00CE312E"/>
    <w:rsid w:val="00CF3C22"/>
    <w:rsid w:val="00D11925"/>
    <w:rsid w:val="00D14305"/>
    <w:rsid w:val="00DB4D51"/>
    <w:rsid w:val="00DF365B"/>
    <w:rsid w:val="00E0008F"/>
    <w:rsid w:val="00E322A0"/>
    <w:rsid w:val="00E57B6B"/>
    <w:rsid w:val="00E8082A"/>
    <w:rsid w:val="00ED22B6"/>
    <w:rsid w:val="00F20B41"/>
    <w:rsid w:val="00F33119"/>
    <w:rsid w:val="00F452F9"/>
    <w:rsid w:val="00F64005"/>
    <w:rsid w:val="00F7410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2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noprint">
    <w:name w:val="noprint"/>
    <w:basedOn w:val="a0"/>
    <w:rsid w:val="00DF3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2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noprint">
    <w:name w:val="noprint"/>
    <w:basedOn w:val="a0"/>
    <w:rsid w:val="00DF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Grancharov</cp:lastModifiedBy>
  <cp:revision>16</cp:revision>
  <dcterms:created xsi:type="dcterms:W3CDTF">2016-03-25T19:53:00Z</dcterms:created>
  <dcterms:modified xsi:type="dcterms:W3CDTF">2016-03-28T22:28:00Z</dcterms:modified>
</cp:coreProperties>
</file>