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65" w:rsidRDefault="00242F65" w:rsidP="00242F65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242F65" w:rsidRDefault="00242F65" w:rsidP="00242F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Националната</w:t>
      </w:r>
      <w:r w:rsidRPr="00242F65">
        <w:rPr>
          <w:sz w:val="16"/>
          <w:szCs w:val="16"/>
        </w:rPr>
        <w:t xml:space="preserve"> </w:t>
      </w:r>
      <w:r>
        <w:rPr>
          <w:sz w:val="28"/>
          <w:szCs w:val="28"/>
        </w:rPr>
        <w:t>професионална</w:t>
      </w:r>
      <w:r w:rsidRPr="00242F65">
        <w:rPr>
          <w:sz w:val="16"/>
          <w:szCs w:val="16"/>
        </w:rPr>
        <w:t xml:space="preserve"> </w:t>
      </w:r>
      <w:r>
        <w:rPr>
          <w:sz w:val="28"/>
          <w:szCs w:val="28"/>
        </w:rPr>
        <w:t>секция</w:t>
      </w:r>
      <w:r w:rsidRPr="00242F65">
        <w:rPr>
          <w:sz w:val="16"/>
          <w:szCs w:val="16"/>
        </w:rPr>
        <w:t xml:space="preserve"> </w:t>
      </w:r>
      <w:r>
        <w:rPr>
          <w:sz w:val="28"/>
          <w:szCs w:val="28"/>
        </w:rPr>
        <w:t>„Е А С Т”</w:t>
      </w:r>
      <w:r w:rsidRPr="00242F65">
        <w:rPr>
          <w:sz w:val="16"/>
          <w:szCs w:val="16"/>
        </w:rPr>
        <w:t xml:space="preserve"> </w:t>
      </w:r>
      <w:r>
        <w:rPr>
          <w:sz w:val="28"/>
          <w:szCs w:val="28"/>
        </w:rPr>
        <w:t>за периода 201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</w:t>
      </w:r>
    </w:p>
    <w:p w:rsidR="00242F65" w:rsidRDefault="00242F65" w:rsidP="00242F6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Уважаеми колеги,</w:t>
      </w:r>
    </w:p>
    <w:p w:rsidR="00242F65" w:rsidRDefault="00242F65" w:rsidP="00242F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Изтеклият период от времето на последното годишно събрание на НПС „ЕАСТ” се характеризира със следните особености:</w:t>
      </w:r>
    </w:p>
    <w:p w:rsidR="00242F65" w:rsidRDefault="00242F65" w:rsidP="00242F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стабилизиране на състава на НПС „ЕАСТ“ секция и попълването й с </w:t>
      </w:r>
      <w:r w:rsidR="0003768D">
        <w:rPr>
          <w:sz w:val="28"/>
          <w:szCs w:val="28"/>
        </w:rPr>
        <w:t>нови</w:t>
      </w:r>
      <w:r>
        <w:rPr>
          <w:sz w:val="28"/>
          <w:szCs w:val="28"/>
        </w:rPr>
        <w:t xml:space="preserve"> кадри;</w:t>
      </w:r>
    </w:p>
    <w:p w:rsidR="00242F65" w:rsidRDefault="00242F65" w:rsidP="00242F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укрепване и стабилизиране дейността на регионалните секции;</w:t>
      </w:r>
    </w:p>
    <w:p w:rsidR="00242F65" w:rsidRDefault="00242F65" w:rsidP="00242F6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продължаваща дейност в областта на обучението и квалификацията.</w:t>
      </w:r>
    </w:p>
    <w:p w:rsidR="00242F65" w:rsidRPr="00242F65" w:rsidRDefault="00242F65" w:rsidP="00242F6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2F65">
        <w:rPr>
          <w:sz w:val="28"/>
          <w:szCs w:val="28"/>
        </w:rPr>
        <w:t>За по-голяма последователност и прегледност на изложението ще ви информирам за</w:t>
      </w:r>
      <w:r>
        <w:rPr>
          <w:sz w:val="28"/>
          <w:szCs w:val="28"/>
        </w:rPr>
        <w:t xml:space="preserve"> </w:t>
      </w:r>
      <w:r w:rsidRPr="00242F65">
        <w:rPr>
          <w:sz w:val="28"/>
          <w:szCs w:val="28"/>
        </w:rPr>
        <w:t>отделните дейности по раздели:</w:t>
      </w:r>
    </w:p>
    <w:p w:rsidR="00242F65" w:rsidRDefault="00242F65" w:rsidP="00242F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Структура и състав на професионалната секция;</w:t>
      </w:r>
    </w:p>
    <w:p w:rsidR="00242F65" w:rsidRDefault="00242F65" w:rsidP="00242F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Представителство в органите на КИИП;</w:t>
      </w:r>
    </w:p>
    <w:p w:rsidR="00242F65" w:rsidRDefault="00242F65" w:rsidP="00242F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Сътрудничество с други организации;</w:t>
      </w:r>
    </w:p>
    <w:p w:rsidR="00242F65" w:rsidRDefault="00242F65" w:rsidP="00242F65">
      <w:pPr>
        <w:numPr>
          <w:ilvl w:val="0"/>
          <w:numId w:val="2"/>
        </w:numPr>
      </w:pPr>
      <w:r>
        <w:t>Поддържане и актуализиране на регистрите за проектантска правоспособност и експертите;</w:t>
      </w:r>
    </w:p>
    <w:p w:rsidR="00242F65" w:rsidRDefault="00242F65" w:rsidP="00242F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Осъществяване на контакти с регионалните професионални секции;</w:t>
      </w:r>
    </w:p>
    <w:p w:rsidR="00242F65" w:rsidRDefault="00242F65" w:rsidP="00242F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Мероприятия, свързани с квалификацията на кадрите. </w:t>
      </w:r>
    </w:p>
    <w:p w:rsidR="00242F65" w:rsidRDefault="00242F65" w:rsidP="00242F65">
      <w:pPr>
        <w:ind w:left="360"/>
        <w:rPr>
          <w:b/>
          <w:u w:val="single"/>
        </w:rPr>
      </w:pPr>
      <w:r>
        <w:rPr>
          <w:b/>
          <w:sz w:val="28"/>
          <w:szCs w:val="28"/>
          <w:u w:val="single"/>
          <w:lang w:val="ru-RU"/>
        </w:rPr>
        <w:t>По т. 1</w:t>
      </w:r>
      <w:r>
        <w:rPr>
          <w:b/>
          <w:sz w:val="28"/>
          <w:szCs w:val="28"/>
          <w:u w:val="single"/>
        </w:rPr>
        <w:t>. Структура и състав на професионалната секци</w:t>
      </w:r>
      <w:r>
        <w:rPr>
          <w:b/>
          <w:u w:val="single"/>
        </w:rPr>
        <w:t>я.</w:t>
      </w:r>
    </w:p>
    <w:tbl>
      <w:tblPr>
        <w:tblW w:w="10198" w:type="dxa"/>
        <w:tblInd w:w="430" w:type="dxa"/>
        <w:tblCellMar>
          <w:left w:w="70" w:type="dxa"/>
          <w:right w:w="70" w:type="dxa"/>
        </w:tblCellMar>
        <w:tblLook w:val="04A0"/>
      </w:tblPr>
      <w:tblGrid>
        <w:gridCol w:w="2341"/>
        <w:gridCol w:w="721"/>
        <w:gridCol w:w="754"/>
        <w:gridCol w:w="792"/>
        <w:gridCol w:w="851"/>
        <w:gridCol w:w="740"/>
        <w:gridCol w:w="740"/>
        <w:gridCol w:w="973"/>
        <w:gridCol w:w="806"/>
        <w:gridCol w:w="740"/>
        <w:gridCol w:w="740"/>
      </w:tblGrid>
      <w:tr w:rsidR="00242F65" w:rsidTr="00242F65">
        <w:trPr>
          <w:trHeight w:val="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65" w:rsidRDefault="00242F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65" w:rsidRDefault="00242F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</w:tr>
      <w:tr w:rsidR="00242F65" w:rsidTr="00242F65">
        <w:trPr>
          <w:trHeight w:val="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Общо, членове с ПП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8982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65" w:rsidRDefault="00242F65">
            <w:pPr>
              <w:jc w:val="right"/>
            </w:pPr>
            <w:r>
              <w:t>9061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10617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10972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12471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11759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12135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12135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12620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65" w:rsidRDefault="001E07B0">
            <w:pPr>
              <w:jc w:val="right"/>
            </w:pPr>
            <w:r>
              <w:t>13976</w:t>
            </w:r>
          </w:p>
        </w:tc>
      </w:tr>
      <w:tr w:rsidR="00242F65" w:rsidTr="00242F65">
        <w:trPr>
          <w:trHeight w:val="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в т.ч. от   ЕАСТ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1565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65" w:rsidRDefault="00242F65">
            <w:pPr>
              <w:jc w:val="right"/>
            </w:pPr>
            <w:r>
              <w:t>1673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2056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2186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2531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2505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2585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2492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2601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65" w:rsidRDefault="001E07B0">
            <w:pPr>
              <w:jc w:val="right"/>
            </w:pPr>
            <w:r>
              <w:t>2786</w:t>
            </w:r>
          </w:p>
        </w:tc>
      </w:tr>
      <w:tr w:rsidR="00242F65" w:rsidTr="00242F65">
        <w:trPr>
          <w:trHeight w:val="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%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18,3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65" w:rsidRDefault="00242F65">
            <w:pPr>
              <w:jc w:val="right"/>
            </w:pPr>
            <w:r>
              <w:t>19,1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20,35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20,65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21,3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21,3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20,5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20,6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65" w:rsidRDefault="001E07B0">
            <w:pPr>
              <w:jc w:val="right"/>
            </w:pPr>
            <w:r>
              <w:t>19,93</w:t>
            </w:r>
          </w:p>
        </w:tc>
      </w:tr>
      <w:tr w:rsidR="00242F65" w:rsidTr="00242F65">
        <w:trPr>
          <w:trHeight w:val="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Членове с ППП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7337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65" w:rsidRDefault="00242F65">
            <w:pPr>
              <w:jc w:val="right"/>
            </w:pPr>
            <w:r>
              <w:t>7560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8876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9093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9887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9415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9759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9961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10369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65" w:rsidRDefault="001E07B0">
            <w:pPr>
              <w:jc w:val="right"/>
            </w:pPr>
            <w:r>
              <w:t>10973</w:t>
            </w:r>
          </w:p>
        </w:tc>
      </w:tr>
      <w:tr w:rsidR="00242F65" w:rsidTr="00242F65">
        <w:trPr>
          <w:trHeight w:val="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в т.ч. от   ЕАСТ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1328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65" w:rsidRDefault="00242F65">
            <w:pPr>
              <w:jc w:val="right"/>
            </w:pPr>
            <w:r>
              <w:t>1400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1659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1699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1842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1842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1912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1932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2045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65" w:rsidRDefault="001E07B0">
            <w:pPr>
              <w:jc w:val="right"/>
            </w:pPr>
            <w:r>
              <w:t>2122</w:t>
            </w:r>
          </w:p>
        </w:tc>
      </w:tr>
      <w:tr w:rsidR="00242F65" w:rsidTr="00242F65">
        <w:trPr>
          <w:trHeight w:val="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%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18,1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65" w:rsidRDefault="00242F65">
            <w:pPr>
              <w:jc w:val="right"/>
            </w:pPr>
            <w:r>
              <w:t>18,5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18,7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18,6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19,6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19,6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19,4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19,7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65" w:rsidRDefault="001E07B0">
            <w:pPr>
              <w:jc w:val="right"/>
            </w:pPr>
            <w:r>
              <w:t>19,34</w:t>
            </w:r>
          </w:p>
        </w:tc>
      </w:tr>
      <w:tr w:rsidR="00242F65" w:rsidTr="00242F65">
        <w:trPr>
          <w:trHeight w:val="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Членове с ОПП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1242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65" w:rsidRDefault="00242F65">
            <w:pPr>
              <w:jc w:val="right"/>
            </w:pPr>
            <w:r>
              <w:t>1198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1513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1651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2369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2344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2376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2174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2251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65" w:rsidRDefault="001E07B0">
            <w:pPr>
              <w:jc w:val="right"/>
            </w:pPr>
            <w:r>
              <w:t>3003</w:t>
            </w:r>
          </w:p>
        </w:tc>
      </w:tr>
      <w:tr w:rsidR="00242F65" w:rsidTr="00242F65">
        <w:trPr>
          <w:trHeight w:val="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в т.ч. от   ЕАСТ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258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65" w:rsidRDefault="00242F65">
            <w:pPr>
              <w:jc w:val="right"/>
            </w:pPr>
            <w:r>
              <w:t>273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397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487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689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663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673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560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556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65" w:rsidRDefault="001E07B0">
            <w:pPr>
              <w:jc w:val="right"/>
            </w:pPr>
            <w:r>
              <w:t>664</w:t>
            </w:r>
          </w:p>
        </w:tc>
      </w:tr>
      <w:tr w:rsidR="00242F65" w:rsidTr="00242F65">
        <w:trPr>
          <w:trHeight w:val="4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%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20,8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65" w:rsidRDefault="00242F65">
            <w:pPr>
              <w:jc w:val="right"/>
            </w:pPr>
            <w:r>
              <w:t>22,8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29,5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29,8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28,3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2F65" w:rsidRDefault="00242F65">
            <w:pPr>
              <w:jc w:val="right"/>
            </w:pPr>
            <w:r>
              <w:t>28,35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25,8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65" w:rsidRDefault="00242F65">
            <w:pPr>
              <w:jc w:val="right"/>
            </w:pPr>
            <w:r>
              <w:t>24,7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65" w:rsidRDefault="001E07B0">
            <w:pPr>
              <w:jc w:val="right"/>
            </w:pPr>
            <w:r>
              <w:t>22,11</w:t>
            </w:r>
          </w:p>
        </w:tc>
      </w:tr>
    </w:tbl>
    <w:p w:rsidR="00242F65" w:rsidRDefault="00242F65" w:rsidP="00242F65">
      <w:pPr>
        <w:ind w:left="360"/>
        <w:rPr>
          <w:sz w:val="8"/>
          <w:szCs w:val="8"/>
          <w:u w:val="single"/>
        </w:rPr>
      </w:pPr>
    </w:p>
    <w:p w:rsidR="00242F65" w:rsidRPr="001E07B0" w:rsidRDefault="00242F65" w:rsidP="00242F65">
      <w:pPr>
        <w:autoSpaceDE w:val="0"/>
        <w:autoSpaceDN w:val="0"/>
        <w:adjustRightInd w:val="0"/>
        <w:rPr>
          <w:bCs/>
          <w:sz w:val="26"/>
          <w:szCs w:val="26"/>
        </w:rPr>
      </w:pPr>
      <w:r w:rsidRPr="001E07B0">
        <w:rPr>
          <w:rFonts w:ascii="TimesNewRomanPS-BoldMT" w:hAnsi="TimesNewRomanPS-BoldMT" w:cs="TimesNewRomanPS-BoldMT"/>
          <w:bCs/>
          <w:sz w:val="26"/>
          <w:szCs w:val="26"/>
        </w:rPr>
        <w:tab/>
      </w:r>
      <w:r w:rsidRPr="001E07B0">
        <w:rPr>
          <w:bCs/>
          <w:sz w:val="26"/>
          <w:szCs w:val="26"/>
        </w:rPr>
        <w:t xml:space="preserve"> </w:t>
      </w:r>
      <w:r w:rsidR="001E07B0" w:rsidRPr="001E07B0">
        <w:rPr>
          <w:bCs/>
          <w:sz w:val="26"/>
          <w:szCs w:val="26"/>
        </w:rPr>
        <w:t>Погледнато чисто статистически</w:t>
      </w:r>
      <w:r w:rsidR="001E07B0">
        <w:rPr>
          <w:bCs/>
          <w:sz w:val="26"/>
          <w:szCs w:val="26"/>
        </w:rPr>
        <w:t xml:space="preserve"> налице е спад в относителното участие на членската маса от нашата секция спрямо общия състав на камарата. </w:t>
      </w:r>
      <w:r w:rsidR="0003768D">
        <w:rPr>
          <w:bCs/>
          <w:sz w:val="26"/>
          <w:szCs w:val="26"/>
        </w:rPr>
        <w:t>Т</w:t>
      </w:r>
      <w:r w:rsidR="001E07B0">
        <w:rPr>
          <w:bCs/>
          <w:sz w:val="26"/>
          <w:szCs w:val="26"/>
        </w:rPr>
        <w:t xml:space="preserve">ози ефект се появи след като изкуствено се наляха бройки по интердисциплинарната част „Пожарна безопасност“, с което се увеличи и общата маса на камарата и в частност на секция „Водно строителство“, където съгласно решението на УС битуват и нашите </w:t>
      </w:r>
      <w:r w:rsidR="0003768D">
        <w:rPr>
          <w:bCs/>
          <w:sz w:val="26"/>
          <w:szCs w:val="26"/>
        </w:rPr>
        <w:t xml:space="preserve">(на НПС „ЕАСТ“) </w:t>
      </w:r>
      <w:r w:rsidR="001E07B0">
        <w:rPr>
          <w:bCs/>
          <w:sz w:val="26"/>
          <w:szCs w:val="26"/>
        </w:rPr>
        <w:t xml:space="preserve">„пожарникари“. </w:t>
      </w:r>
      <w:r w:rsidRPr="001E07B0">
        <w:rPr>
          <w:bCs/>
          <w:sz w:val="26"/>
          <w:szCs w:val="26"/>
        </w:rPr>
        <w:t>Независимо от това</w:t>
      </w:r>
      <w:r w:rsidR="001E07B0">
        <w:rPr>
          <w:bCs/>
          <w:sz w:val="26"/>
          <w:szCs w:val="26"/>
        </w:rPr>
        <w:t xml:space="preserve"> може да се тревожим от факта, че е намалял притокът на нови (предполагаме млади) проектанти с ОПП.</w:t>
      </w:r>
      <w:r w:rsidRPr="001E07B0">
        <w:rPr>
          <w:bCs/>
          <w:sz w:val="26"/>
          <w:szCs w:val="26"/>
        </w:rPr>
        <w:t xml:space="preserve">  Общият спад е до известна степен от колеги със замразено членство и отпаднали - вероятно по възрастови причини. Нараства относително членската ни маса</w:t>
      </w:r>
      <w:r w:rsidRPr="001E07B0">
        <w:rPr>
          <w:bCs/>
          <w:sz w:val="26"/>
          <w:szCs w:val="26"/>
          <w:lang w:val="en-US"/>
        </w:rPr>
        <w:t xml:space="preserve"> </w:t>
      </w:r>
      <w:r w:rsidRPr="001E07B0">
        <w:rPr>
          <w:bCs/>
          <w:sz w:val="26"/>
          <w:szCs w:val="26"/>
        </w:rPr>
        <w:t xml:space="preserve">с ППП </w:t>
      </w:r>
      <w:r w:rsidR="001E07B0">
        <w:rPr>
          <w:bCs/>
          <w:sz w:val="26"/>
          <w:szCs w:val="26"/>
        </w:rPr>
        <w:t>– една от причините е много ниският праг за преминаване от ОПП към ППП.</w:t>
      </w:r>
      <w:r w:rsidRPr="001E07B0">
        <w:rPr>
          <w:bCs/>
          <w:sz w:val="26"/>
          <w:szCs w:val="26"/>
        </w:rPr>
        <w:t xml:space="preserve"> </w:t>
      </w:r>
    </w:p>
    <w:tbl>
      <w:tblPr>
        <w:tblW w:w="10358" w:type="dxa"/>
        <w:tblInd w:w="98" w:type="dxa"/>
        <w:tblLook w:val="04A0"/>
      </w:tblPr>
      <w:tblGrid>
        <w:gridCol w:w="1286"/>
        <w:gridCol w:w="1134"/>
        <w:gridCol w:w="992"/>
        <w:gridCol w:w="1560"/>
        <w:gridCol w:w="992"/>
        <w:gridCol w:w="1276"/>
        <w:gridCol w:w="992"/>
        <w:gridCol w:w="1134"/>
        <w:gridCol w:w="992"/>
      </w:tblGrid>
      <w:tr w:rsidR="000240AC" w:rsidRPr="0003768D" w:rsidTr="00CF1A73">
        <w:trPr>
          <w:trHeight w:val="27"/>
        </w:trPr>
        <w:tc>
          <w:tcPr>
            <w:tcW w:w="103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</w:rPr>
            </w:pPr>
            <w:r w:rsidRPr="0003768D">
              <w:rPr>
                <w:b/>
                <w:bCs/>
                <w:color w:val="000000"/>
              </w:rPr>
              <w:t>Справка за проектантите към КИИП  с ППП по професионални секции, по години</w:t>
            </w:r>
          </w:p>
        </w:tc>
      </w:tr>
      <w:tr w:rsidR="000240AC" w:rsidRPr="0003768D" w:rsidTr="00CF1A73">
        <w:trPr>
          <w:trHeight w:val="27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RANGE!B79"/>
            <w:bookmarkStart w:id="1" w:name="OLE_LINK1" w:colFirst="1" w:colLast="8"/>
            <w:r w:rsidRPr="0003768D">
              <w:rPr>
                <w:b/>
                <w:bCs/>
                <w:color w:val="000000"/>
                <w:sz w:val="26"/>
                <w:szCs w:val="26"/>
              </w:rPr>
              <w:t>Година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МДГE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ТСТС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ОВКХТТГ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ТЕХ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ГПГ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ЕАСТ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КСС</w:t>
            </w:r>
          </w:p>
        </w:tc>
      </w:tr>
      <w:tr w:rsidR="000240AC" w:rsidRPr="0003768D" w:rsidTr="00CF1A73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2283</w:t>
            </w:r>
          </w:p>
        </w:tc>
      </w:tr>
      <w:tr w:rsidR="000240AC" w:rsidRPr="0003768D" w:rsidTr="00CF1A73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2343</w:t>
            </w:r>
          </w:p>
        </w:tc>
      </w:tr>
      <w:tr w:rsidR="000240AC" w:rsidRPr="0003768D" w:rsidTr="00CF1A73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1659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2662</w:t>
            </w:r>
          </w:p>
        </w:tc>
      </w:tr>
      <w:tr w:rsidR="000240AC" w:rsidRPr="0003768D" w:rsidTr="00CF1A73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1699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2716</w:t>
            </w:r>
          </w:p>
        </w:tc>
      </w:tr>
      <w:tr w:rsidR="000240AC" w:rsidRPr="0003768D" w:rsidTr="00CF1A73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2928</w:t>
            </w:r>
          </w:p>
        </w:tc>
      </w:tr>
      <w:tr w:rsidR="000240AC" w:rsidRPr="0003768D" w:rsidTr="00CF1A73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2891</w:t>
            </w:r>
          </w:p>
        </w:tc>
      </w:tr>
      <w:tr w:rsidR="000240AC" w:rsidRPr="0003768D" w:rsidTr="00CF1A73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1912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2999</w:t>
            </w:r>
          </w:p>
        </w:tc>
      </w:tr>
      <w:tr w:rsidR="000240AC" w:rsidRPr="0003768D" w:rsidTr="00CF1A73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1932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2953</w:t>
            </w:r>
          </w:p>
        </w:tc>
      </w:tr>
      <w:bookmarkEnd w:id="1"/>
      <w:tr w:rsidR="000240AC" w:rsidRPr="0003768D" w:rsidTr="00CF1A73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3044</w:t>
            </w:r>
          </w:p>
        </w:tc>
      </w:tr>
      <w:tr w:rsidR="000240AC" w:rsidRPr="0003768D" w:rsidTr="00CF1A73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2122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3121</w:t>
            </w:r>
          </w:p>
        </w:tc>
      </w:tr>
    </w:tbl>
    <w:p w:rsidR="000240AC" w:rsidRPr="00641421" w:rsidRDefault="000240AC" w:rsidP="000240AC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  <w:lang w:eastAsia="zh-TW"/>
        </w:rPr>
      </w:pPr>
    </w:p>
    <w:tbl>
      <w:tblPr>
        <w:tblW w:w="10358" w:type="dxa"/>
        <w:tblInd w:w="98" w:type="dxa"/>
        <w:tblLook w:val="04A0"/>
      </w:tblPr>
      <w:tblGrid>
        <w:gridCol w:w="1187"/>
        <w:gridCol w:w="983"/>
        <w:gridCol w:w="1080"/>
        <w:gridCol w:w="1481"/>
        <w:gridCol w:w="1080"/>
        <w:gridCol w:w="900"/>
        <w:gridCol w:w="810"/>
        <w:gridCol w:w="1420"/>
        <w:gridCol w:w="1417"/>
      </w:tblGrid>
      <w:tr w:rsidR="000240AC" w:rsidRPr="0003768D" w:rsidTr="0003768D">
        <w:trPr>
          <w:trHeight w:val="27"/>
        </w:trPr>
        <w:tc>
          <w:tcPr>
            <w:tcW w:w="103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lastRenderedPageBreak/>
              <w:t>Справка за проектантите към КИИП  с ОПП по професионални секции, по години</w:t>
            </w:r>
          </w:p>
        </w:tc>
      </w:tr>
      <w:tr w:rsidR="000240AC" w:rsidRPr="0003768D" w:rsidTr="0003768D">
        <w:trPr>
          <w:trHeight w:val="315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Година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МДГE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ТСТС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ОВКХТТГ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ТЕХ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ГПГ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ВС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ЕАСТ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3768D">
              <w:rPr>
                <w:b/>
                <w:bCs/>
                <w:color w:val="000000"/>
                <w:sz w:val="26"/>
                <w:szCs w:val="26"/>
              </w:rPr>
              <w:t>КСС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258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390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347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398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416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634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677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629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575</w:t>
            </w:r>
          </w:p>
        </w:tc>
      </w:tr>
      <w:tr w:rsidR="000240AC" w:rsidRPr="0003768D" w:rsidTr="0003768D">
        <w:trPr>
          <w:trHeight w:val="2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638</w:t>
            </w:r>
          </w:p>
        </w:tc>
      </w:tr>
      <w:tr w:rsidR="000240AC" w:rsidRPr="0003768D" w:rsidTr="0003768D">
        <w:trPr>
          <w:trHeight w:val="315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2014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3768D">
              <w:rPr>
                <w:b/>
                <w:color w:val="000000"/>
                <w:sz w:val="26"/>
                <w:szCs w:val="26"/>
              </w:rPr>
              <w:t>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0240AC" w:rsidRPr="0003768D" w:rsidRDefault="000240AC" w:rsidP="00CF1A73">
            <w:pPr>
              <w:jc w:val="center"/>
              <w:rPr>
                <w:color w:val="000000"/>
                <w:sz w:val="26"/>
                <w:szCs w:val="26"/>
              </w:rPr>
            </w:pPr>
            <w:r w:rsidRPr="0003768D">
              <w:rPr>
                <w:color w:val="000000"/>
                <w:sz w:val="26"/>
                <w:szCs w:val="26"/>
              </w:rPr>
              <w:t>846</w:t>
            </w:r>
          </w:p>
        </w:tc>
      </w:tr>
    </w:tbl>
    <w:p w:rsidR="00CA507B" w:rsidRPr="00CA507B" w:rsidRDefault="00CA507B" w:rsidP="000240AC">
      <w:pPr>
        <w:ind w:left="708"/>
        <w:rPr>
          <w:b/>
          <w:sz w:val="16"/>
          <w:szCs w:val="16"/>
          <w:u w:val="single"/>
        </w:rPr>
      </w:pPr>
    </w:p>
    <w:p w:rsidR="00242F65" w:rsidRPr="0003768D" w:rsidRDefault="00242F65" w:rsidP="000240AC">
      <w:pPr>
        <w:ind w:left="708"/>
      </w:pPr>
      <w:r w:rsidRPr="0003768D">
        <w:rPr>
          <w:b/>
          <w:u w:val="single"/>
        </w:rPr>
        <w:t>Забележка:</w:t>
      </w:r>
      <w:r w:rsidRPr="0003768D">
        <w:rPr>
          <w:b/>
        </w:rPr>
        <w:t xml:space="preserve"> Данните са от доклада на </w:t>
      </w:r>
      <w:r w:rsidR="000240AC" w:rsidRPr="0003768D">
        <w:rPr>
          <w:b/>
        </w:rPr>
        <w:t>УС на КИИП за 2014 г.</w:t>
      </w:r>
    </w:p>
    <w:p w:rsidR="00CA507B" w:rsidRPr="00CA507B" w:rsidRDefault="00CA507B" w:rsidP="004704F3">
      <w:pPr>
        <w:ind w:left="360"/>
        <w:jc w:val="both"/>
        <w:rPr>
          <w:sz w:val="16"/>
          <w:szCs w:val="16"/>
        </w:rPr>
      </w:pPr>
    </w:p>
    <w:p w:rsidR="002226E3" w:rsidRDefault="00242F65" w:rsidP="004704F3">
      <w:pPr>
        <w:ind w:left="360"/>
        <w:jc w:val="both"/>
        <w:rPr>
          <w:sz w:val="26"/>
          <w:szCs w:val="26"/>
        </w:rPr>
      </w:pPr>
      <w:r w:rsidRPr="000240AC">
        <w:rPr>
          <w:sz w:val="26"/>
          <w:szCs w:val="26"/>
        </w:rPr>
        <w:t>През 201</w:t>
      </w:r>
      <w:r w:rsidR="000240AC" w:rsidRPr="000240AC">
        <w:rPr>
          <w:sz w:val="26"/>
          <w:szCs w:val="26"/>
        </w:rPr>
        <w:t>4</w:t>
      </w:r>
      <w:r w:rsidRPr="000240AC">
        <w:rPr>
          <w:sz w:val="26"/>
          <w:szCs w:val="26"/>
        </w:rPr>
        <w:t xml:space="preserve"> г. в НПС „ЕАСТ“ в регистрите са вписани</w:t>
      </w:r>
      <w:r w:rsidR="000240AC" w:rsidRPr="000240AC">
        <w:rPr>
          <w:sz w:val="26"/>
          <w:szCs w:val="26"/>
        </w:rPr>
        <w:t xml:space="preserve"> </w:t>
      </w:r>
      <w:r w:rsidR="00F33119">
        <w:rPr>
          <w:sz w:val="26"/>
          <w:szCs w:val="26"/>
        </w:rPr>
        <w:t>77</w:t>
      </w:r>
      <w:r w:rsidRPr="000240AC">
        <w:rPr>
          <w:sz w:val="26"/>
          <w:szCs w:val="26"/>
        </w:rPr>
        <w:t xml:space="preserve"> </w:t>
      </w:r>
      <w:r w:rsidR="000240AC" w:rsidRPr="000240AC">
        <w:rPr>
          <w:sz w:val="26"/>
          <w:szCs w:val="26"/>
        </w:rPr>
        <w:t xml:space="preserve">лица </w:t>
      </w:r>
      <w:r w:rsidRPr="000240AC">
        <w:rPr>
          <w:sz w:val="26"/>
          <w:szCs w:val="26"/>
        </w:rPr>
        <w:t xml:space="preserve">с ППП и </w:t>
      </w:r>
      <w:r w:rsidR="00F33119">
        <w:rPr>
          <w:sz w:val="26"/>
          <w:szCs w:val="26"/>
        </w:rPr>
        <w:t>108</w:t>
      </w:r>
      <w:r w:rsidRPr="000240AC">
        <w:rPr>
          <w:sz w:val="26"/>
          <w:szCs w:val="26"/>
        </w:rPr>
        <w:t xml:space="preserve"> </w:t>
      </w:r>
      <w:r w:rsidR="000240AC" w:rsidRPr="000240AC">
        <w:rPr>
          <w:sz w:val="26"/>
          <w:szCs w:val="26"/>
        </w:rPr>
        <w:t>-</w:t>
      </w:r>
      <w:r w:rsidRPr="000240AC">
        <w:rPr>
          <w:sz w:val="26"/>
          <w:szCs w:val="26"/>
        </w:rPr>
        <w:t xml:space="preserve"> с ОПП.</w:t>
      </w:r>
      <w:r w:rsidR="002226E3">
        <w:rPr>
          <w:sz w:val="26"/>
          <w:szCs w:val="26"/>
        </w:rPr>
        <w:t xml:space="preserve"> </w:t>
      </w:r>
      <w:r w:rsidR="0003768D">
        <w:rPr>
          <w:sz w:val="26"/>
          <w:szCs w:val="26"/>
        </w:rPr>
        <w:t xml:space="preserve"> </w:t>
      </w:r>
      <w:r w:rsidR="002226E3">
        <w:rPr>
          <w:sz w:val="26"/>
          <w:szCs w:val="26"/>
        </w:rPr>
        <w:t xml:space="preserve">Общо </w:t>
      </w:r>
    </w:p>
    <w:p w:rsidR="008E0D3C" w:rsidRDefault="002226E3" w:rsidP="008E0D3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 КИИП тези числа са 609 и 752, което потвърждава изводът за намаления приток на проектанти с ОПП в секцията ни.</w:t>
      </w:r>
      <w:r w:rsidR="00CE312E">
        <w:rPr>
          <w:sz w:val="26"/>
          <w:szCs w:val="26"/>
        </w:rPr>
        <w:t xml:space="preserve"> </w:t>
      </w:r>
      <w:r w:rsidR="00CE312E" w:rsidRPr="00CE312E">
        <w:rPr>
          <w:sz w:val="26"/>
          <w:szCs w:val="26"/>
        </w:rPr>
        <w:t xml:space="preserve">От няколко години </w:t>
      </w:r>
      <w:r w:rsidR="00CE312E">
        <w:rPr>
          <w:sz w:val="26"/>
          <w:szCs w:val="26"/>
        </w:rPr>
        <w:t xml:space="preserve">и </w:t>
      </w:r>
      <w:r w:rsidR="00CE312E" w:rsidRPr="00CE312E">
        <w:rPr>
          <w:sz w:val="26"/>
          <w:szCs w:val="26"/>
        </w:rPr>
        <w:t>техническите университети в страната отчитат тенденция за все по-нисък интерес сред младите хора към класическите машинни специалности и електротехника.</w:t>
      </w:r>
      <w:r w:rsidR="00CE312E">
        <w:rPr>
          <w:sz w:val="26"/>
          <w:szCs w:val="26"/>
        </w:rPr>
        <w:t xml:space="preserve"> С</w:t>
      </w:r>
      <w:r w:rsidR="00CE312E" w:rsidRPr="00CE312E">
        <w:rPr>
          <w:sz w:val="26"/>
          <w:szCs w:val="26"/>
        </w:rPr>
        <w:t xml:space="preserve">траната ни </w:t>
      </w:r>
      <w:r w:rsidR="0003768D">
        <w:rPr>
          <w:sz w:val="26"/>
          <w:szCs w:val="26"/>
        </w:rPr>
        <w:t xml:space="preserve">е </w:t>
      </w:r>
      <w:r w:rsidR="00CE312E" w:rsidRPr="00CE312E">
        <w:rPr>
          <w:sz w:val="26"/>
          <w:szCs w:val="26"/>
        </w:rPr>
        <w:t>пред реалната опасност след няколко години да останем без специалисти в тези области и бизнесът да не разполага с необходимите за производството кадри</w:t>
      </w:r>
      <w:r w:rsidR="00CE312E">
        <w:rPr>
          <w:sz w:val="26"/>
          <w:szCs w:val="26"/>
        </w:rPr>
        <w:t>, в частност</w:t>
      </w:r>
      <w:r w:rsidR="0003768D">
        <w:rPr>
          <w:sz w:val="26"/>
          <w:szCs w:val="26"/>
        </w:rPr>
        <w:t xml:space="preserve"> </w:t>
      </w:r>
      <w:r w:rsidR="00CE312E">
        <w:rPr>
          <w:sz w:val="26"/>
          <w:szCs w:val="26"/>
        </w:rPr>
        <w:t>и за проектирането</w:t>
      </w:r>
      <w:r w:rsidR="00CE312E" w:rsidRPr="00CE312E">
        <w:rPr>
          <w:sz w:val="26"/>
          <w:szCs w:val="26"/>
        </w:rPr>
        <w:t xml:space="preserve">. </w:t>
      </w:r>
      <w:r w:rsidR="00CE312E">
        <w:rPr>
          <w:sz w:val="26"/>
          <w:szCs w:val="26"/>
        </w:rPr>
        <w:t xml:space="preserve">Сега </w:t>
      </w:r>
      <w:r w:rsidR="00CE312E" w:rsidRPr="00CE312E">
        <w:rPr>
          <w:sz w:val="26"/>
          <w:szCs w:val="26"/>
        </w:rPr>
        <w:t>хора с природно заложени инженерни умения трудно могат да се открият, а и за разкриването на талантливите младежи се изисква подход, което струва време и пари</w:t>
      </w:r>
      <w:r w:rsidR="004704F3">
        <w:rPr>
          <w:sz w:val="26"/>
          <w:szCs w:val="26"/>
        </w:rPr>
        <w:t>. Няма го естествения приток от сегашните професионални гимназии. Сега интересът е към</w:t>
      </w:r>
      <w:r w:rsidR="00CE312E" w:rsidRPr="00CE312E">
        <w:rPr>
          <w:sz w:val="26"/>
          <w:szCs w:val="26"/>
        </w:rPr>
        <w:t xml:space="preserve"> езикови или математически гимназии с разширено изучаване на информатика.</w:t>
      </w:r>
      <w:r w:rsidR="004704F3">
        <w:rPr>
          <w:sz w:val="26"/>
          <w:szCs w:val="26"/>
        </w:rPr>
        <w:t xml:space="preserve"> </w:t>
      </w:r>
      <w:r w:rsidR="00CE312E" w:rsidRPr="00CE312E">
        <w:rPr>
          <w:sz w:val="26"/>
          <w:szCs w:val="26"/>
        </w:rPr>
        <w:t>Професионалните гимназии, за да оцелеят през последните години, също наблягат на специалностите, свързани със софтуер, програмиране, компютри</w:t>
      </w:r>
      <w:r w:rsidR="004704F3">
        <w:rPr>
          <w:sz w:val="26"/>
          <w:szCs w:val="26"/>
        </w:rPr>
        <w:t>зация. Н</w:t>
      </w:r>
      <w:r w:rsidR="00CE312E" w:rsidRPr="00CE312E">
        <w:rPr>
          <w:sz w:val="26"/>
          <w:szCs w:val="26"/>
        </w:rPr>
        <w:t>а пръсти се броят гимназиите, които подготвят кадри за управление на машини с цифрово управление</w:t>
      </w:r>
      <w:r w:rsidR="004704F3">
        <w:rPr>
          <w:sz w:val="26"/>
          <w:szCs w:val="26"/>
        </w:rPr>
        <w:t xml:space="preserve">, за </w:t>
      </w:r>
      <w:r w:rsidR="00CE312E" w:rsidRPr="00CE312E">
        <w:rPr>
          <w:sz w:val="26"/>
          <w:szCs w:val="26"/>
        </w:rPr>
        <w:t>металообработка, липсват и електротехническите специалности.</w:t>
      </w:r>
      <w:r w:rsidR="004704F3">
        <w:rPr>
          <w:sz w:val="26"/>
          <w:szCs w:val="26"/>
        </w:rPr>
        <w:t xml:space="preserve"> </w:t>
      </w:r>
      <w:r w:rsidR="00CE312E" w:rsidRPr="004704F3">
        <w:rPr>
          <w:bCs/>
          <w:sz w:val="26"/>
          <w:szCs w:val="26"/>
        </w:rPr>
        <w:t>Все по-малко са желаещи да учат в класическите инженерни специалности</w:t>
      </w:r>
      <w:r w:rsidR="004704F3">
        <w:rPr>
          <w:bCs/>
          <w:sz w:val="26"/>
          <w:szCs w:val="26"/>
        </w:rPr>
        <w:t>. М</w:t>
      </w:r>
      <w:r w:rsidR="00CE312E" w:rsidRPr="00CE312E">
        <w:rPr>
          <w:sz w:val="26"/>
          <w:szCs w:val="26"/>
        </w:rPr>
        <w:t xml:space="preserve">ладите хора се ориентират най-вече към компютърните специалности, чрез които могат лесно да се реализират на пазара на труда. </w:t>
      </w:r>
      <w:r w:rsidR="004704F3">
        <w:rPr>
          <w:sz w:val="26"/>
          <w:szCs w:val="26"/>
        </w:rPr>
        <w:t xml:space="preserve"> Освен това тревожен е и фактът, че в НПС „ЕАСТ“ за правоспособност все по често разглеждаме заявления на дипломирали се чрез „надстрояване“ на бакалавърски ОКС чрез задочно обучение, основно извън висшите технически училища в София, Варна и Габрово. Осн</w:t>
      </w:r>
      <w:r w:rsidR="001D0352">
        <w:rPr>
          <w:sz w:val="26"/>
          <w:szCs w:val="26"/>
        </w:rPr>
        <w:t>о</w:t>
      </w:r>
      <w:r w:rsidR="004704F3">
        <w:rPr>
          <w:sz w:val="26"/>
          <w:szCs w:val="26"/>
        </w:rPr>
        <w:t xml:space="preserve">вният ни приток е от ВТУ „Т. Каблешков“, педагогическия филиал в Сливен, ТУ в Русе, а вече и от НБУ. </w:t>
      </w:r>
      <w:r w:rsidR="001D0352">
        <w:rPr>
          <w:sz w:val="26"/>
          <w:szCs w:val="26"/>
        </w:rPr>
        <w:t xml:space="preserve">Бедата е, че тези лица не са обучавани 4-5 години по учебни планове за инженери, а с една добавка от 60 – 120 кредита (от които 15 за дипломен проект) получават от висшето училище и едно „инж.“ за визитката си. </w:t>
      </w:r>
      <w:r w:rsidR="004704F3">
        <w:rPr>
          <w:sz w:val="26"/>
          <w:szCs w:val="26"/>
        </w:rPr>
        <w:t>В близко време очакваме и кадри от новооткрития Технически факултет в Благоевград, Политехническия университет в Перник</w:t>
      </w:r>
      <w:r w:rsidR="002F6A8F">
        <w:rPr>
          <w:sz w:val="26"/>
          <w:szCs w:val="26"/>
        </w:rPr>
        <w:t xml:space="preserve">, </w:t>
      </w:r>
      <w:r w:rsidR="00C10346">
        <w:rPr>
          <w:sz w:val="26"/>
          <w:szCs w:val="26"/>
        </w:rPr>
        <w:t xml:space="preserve">УБИТ (Университет по библиотекарство и информационни технологги), </w:t>
      </w:r>
      <w:r w:rsidR="002F6A8F">
        <w:rPr>
          <w:sz w:val="26"/>
          <w:szCs w:val="26"/>
        </w:rPr>
        <w:t>Свободните университети във Варна</w:t>
      </w:r>
      <w:r w:rsidR="004704F3">
        <w:rPr>
          <w:sz w:val="26"/>
          <w:szCs w:val="26"/>
        </w:rPr>
        <w:t xml:space="preserve"> </w:t>
      </w:r>
      <w:r w:rsidR="002F6A8F">
        <w:rPr>
          <w:sz w:val="26"/>
          <w:szCs w:val="26"/>
        </w:rPr>
        <w:t xml:space="preserve">и Бургас. Очаква се даже Софийския университет „Климент Охридски“ да започне обучение по интердисциплинарни части – засега „Енергийна ефективност“. Наред са „Отстраняване на отпадъците“, „Санитарни изисквания“, </w:t>
      </w:r>
      <w:r w:rsidR="00CB6B4B" w:rsidRPr="00CB6B4B">
        <w:rPr>
          <w:sz w:val="26"/>
          <w:szCs w:val="26"/>
        </w:rPr>
        <w:t>„Безопасност при експлоатация“, „У</w:t>
      </w:r>
      <w:r w:rsidR="00CB6B4B" w:rsidRPr="00CB6B4B">
        <w:rPr>
          <w:color w:val="000000"/>
          <w:sz w:val="26"/>
          <w:szCs w:val="26"/>
        </w:rPr>
        <w:t>стойчиво използване на природните ресурси</w:t>
      </w:r>
      <w:r w:rsidR="00CB6B4B">
        <w:rPr>
          <w:color w:val="000000"/>
          <w:sz w:val="26"/>
          <w:szCs w:val="26"/>
        </w:rPr>
        <w:t>“…</w:t>
      </w:r>
      <w:r w:rsidR="00173185">
        <w:rPr>
          <w:sz w:val="26"/>
          <w:szCs w:val="26"/>
        </w:rPr>
        <w:t>Удивително е, че в нормативни актове от по-висока степен (напр. Закона за енергийна ефективност</w:t>
      </w:r>
      <w:r w:rsidR="008E0D3C">
        <w:rPr>
          <w:sz w:val="26"/>
          <w:szCs w:val="26"/>
        </w:rPr>
        <w:t xml:space="preserve"> и наредбите към него</w:t>
      </w:r>
      <w:r w:rsidR="00173185">
        <w:rPr>
          <w:sz w:val="26"/>
          <w:szCs w:val="26"/>
        </w:rPr>
        <w:t>)</w:t>
      </w:r>
      <w:r w:rsidR="008E0D3C">
        <w:rPr>
          <w:sz w:val="26"/>
          <w:szCs w:val="26"/>
        </w:rPr>
        <w:t>,</w:t>
      </w:r>
      <w:r w:rsidR="00173185">
        <w:rPr>
          <w:sz w:val="26"/>
          <w:szCs w:val="26"/>
        </w:rPr>
        <w:t xml:space="preserve"> </w:t>
      </w:r>
      <w:r w:rsidR="008E0D3C">
        <w:rPr>
          <w:sz w:val="26"/>
          <w:szCs w:val="26"/>
        </w:rPr>
        <w:t xml:space="preserve">в случаи </w:t>
      </w:r>
      <w:r w:rsidR="00173185">
        <w:rPr>
          <w:sz w:val="26"/>
          <w:szCs w:val="26"/>
        </w:rPr>
        <w:t xml:space="preserve">с </w:t>
      </w:r>
      <w:r w:rsidR="008E0D3C">
        <w:rPr>
          <w:sz w:val="26"/>
          <w:szCs w:val="26"/>
        </w:rPr>
        <w:t xml:space="preserve">по-малко отговорни дейности има изрично изискване за наличие на диплома от висше </w:t>
      </w:r>
      <w:r w:rsidR="008E0D3C" w:rsidRPr="008E0D3C">
        <w:rPr>
          <w:b/>
          <w:sz w:val="26"/>
          <w:szCs w:val="26"/>
        </w:rPr>
        <w:t>техническо</w:t>
      </w:r>
      <w:r w:rsidR="008E0D3C">
        <w:rPr>
          <w:sz w:val="26"/>
          <w:szCs w:val="26"/>
        </w:rPr>
        <w:t xml:space="preserve"> училище и даже изискване за конкретна специалност, докато нашите вътрешни документи признават всяка диплома за „инженер“</w:t>
      </w:r>
      <w:r w:rsidR="008E0D3C" w:rsidRPr="008E0D3C">
        <w:rPr>
          <w:sz w:val="4"/>
          <w:szCs w:val="4"/>
        </w:rPr>
        <w:t xml:space="preserve"> </w:t>
      </w:r>
      <w:r w:rsidR="008E0D3C">
        <w:rPr>
          <w:sz w:val="26"/>
          <w:szCs w:val="26"/>
        </w:rPr>
        <w:t>– бил той „общ…“,</w:t>
      </w:r>
      <w:r w:rsidR="008E0D3C" w:rsidRPr="008E0D3C">
        <w:rPr>
          <w:sz w:val="16"/>
          <w:szCs w:val="16"/>
        </w:rPr>
        <w:t xml:space="preserve"> </w:t>
      </w:r>
      <w:r w:rsidR="008E0D3C">
        <w:rPr>
          <w:sz w:val="26"/>
          <w:szCs w:val="26"/>
        </w:rPr>
        <w:t>„системен…“,</w:t>
      </w:r>
      <w:r w:rsidR="008E0D3C" w:rsidRPr="008E0D3C">
        <w:rPr>
          <w:sz w:val="16"/>
          <w:szCs w:val="16"/>
        </w:rPr>
        <w:t xml:space="preserve"> </w:t>
      </w:r>
      <w:r w:rsidR="008E0D3C">
        <w:rPr>
          <w:sz w:val="26"/>
          <w:szCs w:val="26"/>
        </w:rPr>
        <w:t>„…-мениджър“, „..по маркетинг“, „..с обучение на френски (немски или английски)“ и пр.</w:t>
      </w:r>
    </w:p>
    <w:p w:rsidR="00CA507B" w:rsidRDefault="00CA507B" w:rsidP="00CA507B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242F65" w:rsidRDefault="00242F65" w:rsidP="008E0D3C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lastRenderedPageBreak/>
        <w:t xml:space="preserve">   </w:t>
      </w:r>
      <w:r>
        <w:rPr>
          <w:b/>
          <w:sz w:val="28"/>
          <w:szCs w:val="28"/>
          <w:u w:val="single"/>
          <w:lang w:val="ru-RU"/>
        </w:rPr>
        <w:t>По т. 2</w:t>
      </w:r>
      <w:r>
        <w:rPr>
          <w:b/>
          <w:sz w:val="28"/>
          <w:szCs w:val="28"/>
          <w:u w:val="single"/>
        </w:rPr>
        <w:t>. Представителство в органите на КИИП.</w:t>
      </w:r>
    </w:p>
    <w:p w:rsidR="000240AC" w:rsidRDefault="00242F65" w:rsidP="000240A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</w:rPr>
        <w:t>В Управителния съвет секцията ни се представлява от нейния представител</w:t>
      </w:r>
      <w:r w:rsidR="00C10346" w:rsidRPr="00C10346">
        <w:rPr>
          <w:sz w:val="16"/>
          <w:szCs w:val="16"/>
        </w:rPr>
        <w:t xml:space="preserve"> </w:t>
      </w:r>
      <w:r>
        <w:rPr>
          <w:sz w:val="26"/>
          <w:szCs w:val="26"/>
        </w:rPr>
        <w:t>-</w:t>
      </w:r>
      <w:r w:rsidR="000240AC" w:rsidRPr="00C10346">
        <w:rPr>
          <w:sz w:val="16"/>
          <w:szCs w:val="16"/>
        </w:rPr>
        <w:t xml:space="preserve"> </w:t>
      </w:r>
      <w:r>
        <w:rPr>
          <w:sz w:val="26"/>
          <w:szCs w:val="26"/>
        </w:rPr>
        <w:t>инж. М</w:t>
      </w:r>
      <w:r w:rsidR="000240AC">
        <w:rPr>
          <w:sz w:val="26"/>
          <w:szCs w:val="26"/>
        </w:rPr>
        <w:t>ария</w:t>
      </w:r>
      <w:r>
        <w:rPr>
          <w:sz w:val="26"/>
          <w:szCs w:val="26"/>
        </w:rPr>
        <w:t xml:space="preserve"> </w:t>
      </w:r>
    </w:p>
    <w:p w:rsidR="00242F65" w:rsidRDefault="00242F65" w:rsidP="000240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Попова, както и от главния секретар – инж. Ив. Каралеев. Освен това наши представители в УС са и председателите на регионални колегии </w:t>
      </w:r>
      <w:r w:rsidR="000240AC">
        <w:rPr>
          <w:sz w:val="26"/>
          <w:szCs w:val="26"/>
        </w:rPr>
        <w:t xml:space="preserve">инж. Ив. Когиев, инж. М. Младенов, </w:t>
      </w:r>
      <w:r>
        <w:rPr>
          <w:sz w:val="26"/>
          <w:szCs w:val="26"/>
        </w:rPr>
        <w:t>инж. Р.Иванов), и инж. Ст. Видев.</w:t>
      </w:r>
      <w:r w:rsidR="000240AC">
        <w:rPr>
          <w:sz w:val="26"/>
          <w:szCs w:val="26"/>
        </w:rPr>
        <w:t xml:space="preserve"> </w:t>
      </w:r>
      <w:r>
        <w:rPr>
          <w:sz w:val="26"/>
          <w:szCs w:val="26"/>
        </w:rPr>
        <w:t>За периода 01.04.2014 г.–28.3.2014 г. нашите представители са били редовни участници в заседанията на Управителния съвет и са посетили по-голяма част от заседанията – те са отразени подробно в доклада на инж. Ст. Кинарев.</w:t>
      </w:r>
    </w:p>
    <w:p w:rsidR="00242F65" w:rsidRDefault="00242F65" w:rsidP="00242F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Нашите участници са сред активните членове, особено главният секретар инж. Каралеев, който е ангажиран с изключително отговорни текущи задачи, в т..ч. и като председател на Комисията  по регистрите</w:t>
      </w:r>
      <w:r w:rsidR="00CB6B4B">
        <w:rPr>
          <w:sz w:val="26"/>
          <w:szCs w:val="26"/>
        </w:rPr>
        <w:t>, както и инж. Младенов – член на няколко постоянни комисии</w:t>
      </w:r>
      <w:r>
        <w:rPr>
          <w:sz w:val="26"/>
          <w:szCs w:val="26"/>
        </w:rPr>
        <w:t xml:space="preserve">. Другите ни представители в </w:t>
      </w:r>
      <w:r w:rsidR="00CB6B4B">
        <w:rPr>
          <w:sz w:val="26"/>
          <w:szCs w:val="26"/>
        </w:rPr>
        <w:t>Комисията по регистрите са</w:t>
      </w:r>
      <w:r>
        <w:rPr>
          <w:sz w:val="26"/>
          <w:szCs w:val="26"/>
        </w:rPr>
        <w:t xml:space="preserve"> инж. Грънчаров и инж. М. Попова. </w:t>
      </w:r>
      <w:r w:rsidR="00F33119">
        <w:rPr>
          <w:sz w:val="26"/>
          <w:szCs w:val="26"/>
        </w:rPr>
        <w:t xml:space="preserve">Тук основната тежест е в претенциите за ППП. За изминалата година най-много кандидатури за ППП (77, колкото и в КСС) бяха за нашата секция.  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Наши представители участват в работата на централните органи на КИИП – Контролния съвет (инж. Елка Милева) и К Д П  (инж. </w:t>
      </w:r>
      <w:r w:rsidR="000240AC">
        <w:rPr>
          <w:sz w:val="26"/>
          <w:szCs w:val="26"/>
        </w:rPr>
        <w:t>Л. Аладжем</w:t>
      </w:r>
      <w:r>
        <w:rPr>
          <w:sz w:val="26"/>
          <w:szCs w:val="26"/>
        </w:rPr>
        <w:t>)</w:t>
      </w:r>
    </w:p>
    <w:p w:rsidR="00242F65" w:rsidRDefault="004C2A3A" w:rsidP="00242F65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42F65">
        <w:rPr>
          <w:sz w:val="26"/>
          <w:szCs w:val="26"/>
        </w:rPr>
        <w:t>Дейността на двата органа е предмет на специалните отчети на двата органа на КИИП</w:t>
      </w:r>
      <w:r>
        <w:rPr>
          <w:sz w:val="26"/>
          <w:szCs w:val="26"/>
        </w:rPr>
        <w:t>.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Наши активни участници има и в останалите комисии: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>В комисията по нормативни актове – инж. Каралеев, инж. Младенов, инж. Р. Иванов;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бюджетната комисия – </w:t>
      </w:r>
      <w:r w:rsidR="00F33119">
        <w:rPr>
          <w:sz w:val="26"/>
          <w:szCs w:val="26"/>
        </w:rPr>
        <w:t xml:space="preserve">инж. М. Младенов, </w:t>
      </w:r>
      <w:r>
        <w:rPr>
          <w:sz w:val="26"/>
          <w:szCs w:val="26"/>
        </w:rPr>
        <w:t>инж. Св. Дренски, инж. Румен Иванов.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>В Комисията по международната дейност -  инж. Ив. Каралеев.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>В комисията по Методиката за възнагражденията – инж. Младенов и инж. Дренски.</w:t>
      </w:r>
    </w:p>
    <w:p w:rsidR="00242F65" w:rsidRDefault="00242F65" w:rsidP="00242F65">
      <w:pPr>
        <w:jc w:val="both"/>
        <w:rPr>
          <w:sz w:val="28"/>
          <w:szCs w:val="28"/>
        </w:rPr>
      </w:pPr>
      <w:r>
        <w:rPr>
          <w:sz w:val="26"/>
          <w:szCs w:val="26"/>
        </w:rPr>
        <w:t>В комисията по признаване на профес</w:t>
      </w:r>
      <w:r w:rsidR="000240AC">
        <w:rPr>
          <w:sz w:val="26"/>
          <w:szCs w:val="26"/>
        </w:rPr>
        <w:t xml:space="preserve">ионални </w:t>
      </w:r>
      <w:r>
        <w:rPr>
          <w:sz w:val="26"/>
          <w:szCs w:val="26"/>
        </w:rPr>
        <w:t xml:space="preserve">квалификации–инж. </w:t>
      </w:r>
      <w:r w:rsidR="00F33119">
        <w:rPr>
          <w:sz w:val="26"/>
          <w:szCs w:val="26"/>
        </w:rPr>
        <w:t>Каралеев</w:t>
      </w:r>
      <w:r>
        <w:rPr>
          <w:sz w:val="26"/>
          <w:szCs w:val="26"/>
        </w:rPr>
        <w:t>, инж. Младенов</w:t>
      </w:r>
      <w:r>
        <w:rPr>
          <w:sz w:val="28"/>
          <w:szCs w:val="28"/>
        </w:rPr>
        <w:t>.</w:t>
      </w:r>
    </w:p>
    <w:p w:rsidR="00592432" w:rsidRPr="00592432" w:rsidRDefault="00592432" w:rsidP="00242F65">
      <w:pPr>
        <w:jc w:val="both"/>
        <w:rPr>
          <w:sz w:val="26"/>
          <w:szCs w:val="26"/>
        </w:rPr>
      </w:pPr>
      <w:r w:rsidRPr="00592432">
        <w:rPr>
          <w:sz w:val="26"/>
          <w:szCs w:val="26"/>
        </w:rPr>
        <w:tab/>
        <w:t>Колегите от УС, КС и КДП са фактическото ръководство на секцията и искам специално да им благодаря за активността през годината и най-специално на зам. председателя инж. Мария Попова – за информацията, която системно ми подава във връзка с работата на УС. Искам също да отбележа и активността на инж. Ясен Цветанов, който направи ценни предложения (за съжаление недооценени) от централните органи на КИИП.</w:t>
      </w:r>
    </w:p>
    <w:p w:rsidR="00242F65" w:rsidRDefault="00242F65" w:rsidP="00242F65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т. 3. Сътрудничество с други организации (НКО, БИС) </w:t>
      </w:r>
    </w:p>
    <w:p w:rsidR="00242F65" w:rsidRDefault="00242F65" w:rsidP="007053D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>
        <w:rPr>
          <w:sz w:val="26"/>
          <w:szCs w:val="26"/>
        </w:rPr>
        <w:t>Секция „ЕАСТ” активно сътрудничи с Националния комитет по осветление. Както</w:t>
      </w:r>
      <w:r w:rsidR="0003768D">
        <w:rPr>
          <w:sz w:val="26"/>
          <w:szCs w:val="26"/>
        </w:rPr>
        <w:t xml:space="preserve"> е</w:t>
      </w:r>
      <w:r>
        <w:rPr>
          <w:sz w:val="26"/>
          <w:szCs w:val="26"/>
        </w:rPr>
        <w:t xml:space="preserve"> известно председателят </w:t>
      </w:r>
      <w:r w:rsidR="00F33119">
        <w:rPr>
          <w:sz w:val="26"/>
          <w:szCs w:val="26"/>
        </w:rPr>
        <w:t>й</w:t>
      </w:r>
      <w:r>
        <w:rPr>
          <w:sz w:val="26"/>
          <w:szCs w:val="26"/>
        </w:rPr>
        <w:t xml:space="preserve"> инж. Кр. Велинов</w:t>
      </w:r>
      <w:r w:rsidR="00F33119">
        <w:rPr>
          <w:sz w:val="26"/>
          <w:szCs w:val="26"/>
        </w:rPr>
        <w:t xml:space="preserve"> (наш активен член) разви значителна дейност във връзка с 50-годишнината на НКО и проведената Юбилейна конференция с международно участие. Много наши членове влязоха в новоструктирания НКО</w:t>
      </w:r>
      <w:r>
        <w:rPr>
          <w:sz w:val="26"/>
          <w:szCs w:val="26"/>
        </w:rPr>
        <w:t xml:space="preserve">.  </w:t>
      </w:r>
      <w:r w:rsidR="007053D2">
        <w:rPr>
          <w:sz w:val="26"/>
          <w:szCs w:val="26"/>
        </w:rPr>
        <w:t>О</w:t>
      </w:r>
      <w:r>
        <w:rPr>
          <w:sz w:val="26"/>
          <w:szCs w:val="26"/>
        </w:rPr>
        <w:t>чакваме още по-тясно и ползотворно сътрудничество</w:t>
      </w:r>
      <w:r w:rsidR="007053D2">
        <w:rPr>
          <w:sz w:val="26"/>
          <w:szCs w:val="26"/>
        </w:rPr>
        <w:t xml:space="preserve"> през тази година, която е обявена от ЮНЕСКО за </w:t>
      </w:r>
      <w:r w:rsidR="006920C4">
        <w:rPr>
          <w:sz w:val="26"/>
          <w:szCs w:val="26"/>
        </w:rPr>
        <w:t>„Международна година на светлината и светлинните технологии“</w:t>
      </w:r>
      <w:r>
        <w:rPr>
          <w:sz w:val="26"/>
          <w:szCs w:val="26"/>
        </w:rPr>
        <w:t xml:space="preserve">. </w:t>
      </w:r>
      <w:r w:rsidR="006920C4" w:rsidRPr="00862ED8">
        <w:rPr>
          <w:sz w:val="26"/>
          <w:szCs w:val="26"/>
        </w:rPr>
        <w:t>В рамките на подпрограмата „Светлинни технологии и приложна светотехника“ са ангажирани като зам. председатели Р. Кючуков и Л. Грънчаров, а като членове</w:t>
      </w:r>
      <w:r w:rsidR="006920C4">
        <w:rPr>
          <w:sz w:val="26"/>
          <w:szCs w:val="26"/>
        </w:rPr>
        <w:t xml:space="preserve"> на организац. комитет много наши членове</w:t>
      </w:r>
      <w:r w:rsidR="006920C4" w:rsidRPr="00862ED8">
        <w:rPr>
          <w:sz w:val="26"/>
          <w:szCs w:val="26"/>
        </w:rPr>
        <w:t xml:space="preserve">: </w:t>
      </w:r>
      <w:r w:rsidR="006920C4">
        <w:rPr>
          <w:sz w:val="26"/>
          <w:szCs w:val="26"/>
        </w:rPr>
        <w:t xml:space="preserve">Димитър Матев, Л. Аладжем, М. Младенов, </w:t>
      </w:r>
      <w:r w:rsidR="006920C4" w:rsidRPr="00862ED8">
        <w:rPr>
          <w:sz w:val="26"/>
          <w:szCs w:val="26"/>
        </w:rPr>
        <w:t>Недко Тодоров</w:t>
      </w:r>
      <w:r w:rsidR="006920C4">
        <w:rPr>
          <w:sz w:val="26"/>
          <w:szCs w:val="26"/>
        </w:rPr>
        <w:t xml:space="preserve">,   </w:t>
      </w:r>
      <w:r w:rsidR="006920C4" w:rsidRPr="00862ED8">
        <w:rPr>
          <w:sz w:val="26"/>
          <w:szCs w:val="26"/>
        </w:rPr>
        <w:t xml:space="preserve">Н. Бърдарски, </w:t>
      </w:r>
      <w:r w:rsidR="006920C4">
        <w:rPr>
          <w:sz w:val="26"/>
          <w:szCs w:val="26"/>
        </w:rPr>
        <w:t>Р. Иванов, Св. Дренски, С</w:t>
      </w:r>
      <w:r w:rsidR="006920C4" w:rsidRPr="00862ED8">
        <w:rPr>
          <w:sz w:val="26"/>
          <w:szCs w:val="26"/>
        </w:rPr>
        <w:t>т. Платиканов</w:t>
      </w:r>
      <w:r w:rsidR="006920C4">
        <w:rPr>
          <w:sz w:val="26"/>
          <w:szCs w:val="26"/>
        </w:rPr>
        <w:t xml:space="preserve"> – възможно е да има и пропуснати.</w:t>
      </w:r>
    </w:p>
    <w:p w:rsidR="00242F65" w:rsidRDefault="00242F65" w:rsidP="00705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работата на БИС секцията ни е ангажирана в общо четири ТК:</w:t>
      </w:r>
    </w:p>
    <w:p w:rsidR="00242F65" w:rsidRDefault="00242F65" w:rsidP="007053D2">
      <w:pPr>
        <w:jc w:val="both"/>
        <w:rPr>
          <w:sz w:val="26"/>
          <w:szCs w:val="26"/>
        </w:rPr>
      </w:pPr>
      <w:r>
        <w:rPr>
          <w:sz w:val="26"/>
          <w:szCs w:val="26"/>
        </w:rPr>
        <w:t>-  № 49 – „Електрически уредби НН” (инж. Грънчаров</w:t>
      </w:r>
      <w:r w:rsidR="00CF3C2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който е и председател на ТК 49); </w:t>
      </w:r>
    </w:p>
    <w:p w:rsidR="00242F65" w:rsidRDefault="00242F65" w:rsidP="007053D2">
      <w:pPr>
        <w:jc w:val="both"/>
        <w:rPr>
          <w:sz w:val="26"/>
          <w:szCs w:val="26"/>
        </w:rPr>
      </w:pPr>
      <w:r>
        <w:rPr>
          <w:sz w:val="26"/>
          <w:szCs w:val="26"/>
        </w:rPr>
        <w:t>-  № 53 – „Алармени системи” (инж. Румен Иванов);</w:t>
      </w:r>
    </w:p>
    <w:p w:rsidR="00242F65" w:rsidRDefault="00242F65" w:rsidP="007053D2">
      <w:pPr>
        <w:jc w:val="both"/>
        <w:rPr>
          <w:sz w:val="26"/>
          <w:szCs w:val="26"/>
        </w:rPr>
      </w:pPr>
      <w:r>
        <w:rPr>
          <w:sz w:val="26"/>
          <w:szCs w:val="26"/>
        </w:rPr>
        <w:t>-  № 54 –  „Осветителна техника и електроинсталационни изделия” (инж. Кр. Велинов);</w:t>
      </w:r>
    </w:p>
    <w:p w:rsidR="00242F65" w:rsidRDefault="00242F65" w:rsidP="007053D2">
      <w:pPr>
        <w:jc w:val="both"/>
        <w:rPr>
          <w:sz w:val="26"/>
          <w:szCs w:val="26"/>
        </w:rPr>
      </w:pPr>
      <w:r>
        <w:rPr>
          <w:sz w:val="26"/>
          <w:szCs w:val="26"/>
        </w:rPr>
        <w:t>-  № 79 –  „Електроенергетика” (инж. Малинка Качикозова).</w:t>
      </w:r>
    </w:p>
    <w:p w:rsidR="00242F65" w:rsidRDefault="00242F65" w:rsidP="007053D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>
        <w:rPr>
          <w:sz w:val="26"/>
          <w:szCs w:val="26"/>
        </w:rPr>
        <w:t>Освен това инж. Л. Грънчаров е и член на Техн</w:t>
      </w:r>
      <w:r w:rsidR="002A1D7D">
        <w:rPr>
          <w:sz w:val="26"/>
          <w:szCs w:val="26"/>
        </w:rPr>
        <w:t>ическия</w:t>
      </w:r>
      <w:r>
        <w:rPr>
          <w:sz w:val="26"/>
          <w:szCs w:val="26"/>
        </w:rPr>
        <w:t xml:space="preserve"> съвет по </w:t>
      </w:r>
      <w:r>
        <w:rPr>
          <w:bCs/>
          <w:sz w:val="26"/>
          <w:szCs w:val="26"/>
        </w:rPr>
        <w:t xml:space="preserve">стандартизация </w:t>
      </w:r>
      <w:r>
        <w:rPr>
          <w:sz w:val="26"/>
          <w:szCs w:val="26"/>
        </w:rPr>
        <w:t xml:space="preserve"> (ТСЕ) в областта на електротехниката при БИС,</w:t>
      </w:r>
      <w:r w:rsidR="007053D2">
        <w:rPr>
          <w:sz w:val="26"/>
          <w:szCs w:val="26"/>
        </w:rPr>
        <w:t xml:space="preserve"> </w:t>
      </w:r>
      <w:r>
        <w:rPr>
          <w:sz w:val="26"/>
          <w:szCs w:val="26"/>
        </w:rPr>
        <w:t>който следи за дейността по стандартизация и в останалите технически комитети към ТСЕ.</w:t>
      </w:r>
    </w:p>
    <w:p w:rsidR="006920C4" w:rsidRDefault="006920C4" w:rsidP="007053D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доклада на УС на КИИП специално са маркирани активностите на наши членове през изтеклата година: инж. Р. Иванов (като член на Експертните съвети при Община и област Варна във връзка със ЗЧК), инж. Минчо Пеев (представител на РК-Сливен в Координационния съвет по изпълнение на програмата за намаляване на въздействието на </w:t>
      </w:r>
      <w:r>
        <w:rPr>
          <w:sz w:val="26"/>
          <w:szCs w:val="26"/>
        </w:rPr>
        <w:lastRenderedPageBreak/>
        <w:t xml:space="preserve">радона в сградите…), инж. Манол Люнчев (за участието му в Областния съвет за устойчиво енергийно развитие на гр. Смолян) инж. Е. Милева (за работата й в КС на КИИП). </w:t>
      </w: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0803"/>
      </w:tblGrid>
      <w:tr w:rsidR="00242F65" w:rsidTr="00C67D47">
        <w:trPr>
          <w:trHeight w:val="1670"/>
        </w:trPr>
        <w:tc>
          <w:tcPr>
            <w:tcW w:w="10803" w:type="dxa"/>
            <w:hideMark/>
          </w:tcPr>
          <w:p w:rsidR="008F2D19" w:rsidRDefault="00242F65" w:rsidP="008F2D19">
            <w:pPr>
              <w:ind w:right="253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В </w:t>
            </w:r>
            <w:r>
              <w:rPr>
                <w:color w:val="0000FF"/>
                <w:sz w:val="26"/>
                <w:szCs w:val="26"/>
                <w:u w:val="single"/>
              </w:rPr>
              <w:t>прил</w:t>
            </w:r>
            <w:r w:rsidR="007053D2">
              <w:rPr>
                <w:color w:val="0000FF"/>
                <w:sz w:val="26"/>
                <w:szCs w:val="26"/>
                <w:u w:val="single"/>
              </w:rPr>
              <w:t>ожение</w:t>
            </w:r>
            <w:r>
              <w:rPr>
                <w:color w:val="0000FF"/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</w:rPr>
              <w:t xml:space="preserve"> е дадена справка за дейността, главно в областта на </w:t>
            </w:r>
            <w:r w:rsidR="007053D2">
              <w:rPr>
                <w:sz w:val="26"/>
                <w:szCs w:val="26"/>
              </w:rPr>
              <w:t xml:space="preserve">предстоящите </w:t>
            </w:r>
            <w:r>
              <w:rPr>
                <w:sz w:val="26"/>
                <w:szCs w:val="26"/>
              </w:rPr>
              <w:t xml:space="preserve"> преводи на стандарти,което</w:t>
            </w:r>
            <w:r w:rsidRPr="007053D2"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е особено важно за приложимостта на стандартите</w:t>
            </w:r>
            <w:r w:rsidRPr="007053D2"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7053D2"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дейността</w:t>
            </w:r>
            <w:r w:rsidRPr="007053D2">
              <w:rPr>
                <w:sz w:val="16"/>
                <w:szCs w:val="16"/>
              </w:rPr>
              <w:t xml:space="preserve"> </w:t>
            </w:r>
            <w:r>
              <w:rPr>
                <w:sz w:val="26"/>
                <w:szCs w:val="26"/>
              </w:rPr>
              <w:t>ни</w:t>
            </w:r>
            <w:r w:rsidR="007053D2">
              <w:rPr>
                <w:sz w:val="26"/>
                <w:szCs w:val="26"/>
              </w:rPr>
              <w:t>.</w:t>
            </w:r>
            <w:r w:rsidR="00C10346">
              <w:rPr>
                <w:sz w:val="26"/>
                <w:szCs w:val="26"/>
              </w:rPr>
              <w:t xml:space="preserve"> </w:t>
            </w:r>
            <w:r w:rsidR="007053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От тази година в обновения сайт на БИС е предложена изключително много информация, за това няма да се спирам подробно за дейността на нашите представители в БИС</w:t>
            </w:r>
            <w:r w:rsidR="007053D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592432">
              <w:rPr>
                <w:sz w:val="26"/>
                <w:szCs w:val="26"/>
              </w:rPr>
              <w:t xml:space="preserve">          Считам, че тук е мястото да отразя изключително полезния ход, който направи Софийската РК, като поръча набор от стандарти за ползване от членовете си. Специални благодарности искам да изкажа и на инж. Дренски и инж. Славея Денева за продуктивно ни сътрудничество през отчетния период.</w:t>
            </w:r>
          </w:p>
          <w:p w:rsidR="00C67D47" w:rsidRPr="00C67D47" w:rsidRDefault="00C67D47" w:rsidP="008F2D19">
            <w:pPr>
              <w:ind w:right="2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      </w:t>
            </w:r>
            <w:r>
              <w:rPr>
                <w:sz w:val="26"/>
                <w:szCs w:val="26"/>
              </w:rPr>
              <w:t>От началото на 2014 г. чрез достъп с парола действа електронна платформа за участие в работата по стандартизация чрез интернет страницата на БИС, като е осигурен достъп на всеки член на технически комитет до стандарти и стандартизационни документи.</w:t>
            </w:r>
            <w:bookmarkStart w:id="2" w:name="_GoBack"/>
            <w:bookmarkEnd w:id="2"/>
          </w:p>
          <w:p w:rsidR="008F2D19" w:rsidRDefault="008F2D19" w:rsidP="008F2D19">
            <w:pPr>
              <w:ind w:right="253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92432" w:rsidRPr="00592432" w:rsidRDefault="00592432" w:rsidP="00242F65">
      <w:pPr>
        <w:rPr>
          <w:b/>
          <w:sz w:val="8"/>
          <w:szCs w:val="8"/>
          <w:u w:val="single"/>
        </w:rPr>
      </w:pPr>
    </w:p>
    <w:p w:rsidR="00242F65" w:rsidRDefault="00242F65" w:rsidP="008F2D19">
      <w:pPr>
        <w:ind w:firstLine="708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По т. 4. Поддържане и актуализиране на регистрите за </w:t>
      </w:r>
      <w:r w:rsidR="008F2D19">
        <w:rPr>
          <w:b/>
          <w:sz w:val="26"/>
          <w:szCs w:val="26"/>
          <w:u w:val="single"/>
        </w:rPr>
        <w:t>ПП</w:t>
      </w:r>
      <w:r>
        <w:rPr>
          <w:b/>
          <w:sz w:val="26"/>
          <w:szCs w:val="26"/>
          <w:u w:val="single"/>
        </w:rPr>
        <w:t xml:space="preserve"> и на експерти</w:t>
      </w:r>
    </w:p>
    <w:p w:rsidR="00242F65" w:rsidRDefault="00242F65" w:rsidP="00242F65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Поддържането и актуализирането на регистрите е основно задължение на КИИП. Съгласно чл.4.3, ал. 3  на Устава ни „КИИП актуализира на всеки два месеца ........ регистрите по чл. 6 на ЗКАИИП (за ППП, ОПП и проектантските бюра) и подава информация за това в електронната си страница</w:t>
      </w:r>
      <w:r w:rsidR="008F2D19">
        <w:rPr>
          <w:bCs/>
          <w:color w:val="000000"/>
          <w:sz w:val="26"/>
          <w:szCs w:val="26"/>
        </w:rPr>
        <w:t>“</w:t>
      </w:r>
      <w:r>
        <w:rPr>
          <w:bCs/>
          <w:color w:val="000000"/>
          <w:sz w:val="26"/>
          <w:szCs w:val="26"/>
        </w:rPr>
        <w:t xml:space="preserve">. 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За съжаление и тук не можем да се похвалим с впечатляваща прозрачност – на практика вместо очаквания регистър в онлайн режим информация може да се получи само от периодично подаваната информация от протоколи на комисията по регистрите. В подкомисията по ЕАСТ към Комисията по регистрите се постигна много по отношение на изискванията към всички общи случаи, като се натрупа практика и в решаването на конкретни казуси. Намаляха случаите на противоречия между предложенията на регионалните колегии и централната комисия. </w:t>
      </w:r>
      <w:r>
        <w:rPr>
          <w:sz w:val="26"/>
          <w:szCs w:val="26"/>
        </w:rPr>
        <w:t xml:space="preserve">Нашите представители в КР споделят основните проблеми, отразени в доклада на Комисията, а именно: </w:t>
      </w:r>
    </w:p>
    <w:p w:rsidR="00242F65" w:rsidRDefault="00242F65" w:rsidP="00AA2EFF">
      <w:pPr>
        <w:jc w:val="both"/>
        <w:rPr>
          <w:sz w:val="26"/>
          <w:szCs w:val="26"/>
        </w:rPr>
      </w:pPr>
      <w:r>
        <w:rPr>
          <w:sz w:val="26"/>
          <w:szCs w:val="26"/>
        </w:rPr>
        <w:t>- Непосочване в отделни случаи на становище на РК относно ПП, неподписани становища от председателите на регионална професионална секция и на РК, което често създава поводи за различни тълкувания от членовете на КР и за вземане на неточни решения;</w:t>
      </w:r>
    </w:p>
    <w:p w:rsidR="00242F65" w:rsidRDefault="00242F65" w:rsidP="00AA2E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g-BG"/>
        </w:rPr>
        <w:t>С</w:t>
      </w:r>
      <w:proofErr w:type="spellStart"/>
      <w:r>
        <w:rPr>
          <w:rFonts w:ascii="Times New Roman" w:hAnsi="Times New Roman"/>
          <w:sz w:val="26"/>
          <w:szCs w:val="26"/>
        </w:rPr>
        <w:t>пазването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изискванията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нормативните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документи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имащи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отношение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към</w:t>
      </w:r>
      <w:proofErr w:type="spellEnd"/>
      <w:r>
        <w:rPr>
          <w:rFonts w:ascii="Times New Roman" w:hAnsi="Times New Roman"/>
          <w:sz w:val="26"/>
          <w:szCs w:val="26"/>
        </w:rPr>
        <w:t xml:space="preserve"> ПП. </w:t>
      </w:r>
    </w:p>
    <w:p w:rsidR="00242F65" w:rsidRDefault="00242F65" w:rsidP="00AA2EFF">
      <w:pPr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Продължава практиката някои РК да настояват по един или друг начин за заобикаляне изискванията на нормативните документи и в регистъра на проектантите с ПП да бъдат вписвани лица, които не отговарят на всички изисквания на нормативите.</w:t>
      </w:r>
      <w:r w:rsidR="009A3D50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За съжаление в някои от случаите от РК постъпват все още предложения за признаване на проектантска правоспособност при изключително занижени критерии, в това число и на лица без наличие на инженерно обучение с достатъчна продължителност по направления 5.2 и 5.3.  </w:t>
      </w:r>
    </w:p>
    <w:p w:rsidR="00242F65" w:rsidRDefault="00242F65" w:rsidP="00AA2EF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g-BG"/>
        </w:rPr>
        <w:t>-</w:t>
      </w:r>
      <w:r w:rsidR="008F2D19">
        <w:rPr>
          <w:rFonts w:ascii="Times New Roman" w:hAnsi="Times New Roman"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>Много</w:t>
      </w:r>
      <w:r>
        <w:rPr>
          <w:rFonts w:ascii="Times New Roman" w:hAnsi="Times New Roman"/>
          <w:sz w:val="16"/>
          <w:szCs w:val="16"/>
          <w:lang w:val="bg-BG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>проблеми</w:t>
      </w:r>
      <w:r>
        <w:rPr>
          <w:rFonts w:ascii="Times New Roman" w:hAnsi="Times New Roman"/>
          <w:sz w:val="16"/>
          <w:szCs w:val="16"/>
          <w:lang w:val="bg-BG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>създават</w:t>
      </w:r>
      <w:r>
        <w:rPr>
          <w:rFonts w:ascii="Times New Roman" w:hAnsi="Times New Roman"/>
          <w:sz w:val="16"/>
          <w:szCs w:val="16"/>
          <w:lang w:val="bg-BG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 xml:space="preserve">и дипломите, издавани от различните висши училища в страната </w:t>
      </w:r>
    </w:p>
    <w:p w:rsidR="00242F65" w:rsidRDefault="00242F65" w:rsidP="00AA2EFF">
      <w:pPr>
        <w:pStyle w:val="ListParagraph"/>
        <w:spacing w:after="0" w:line="240" w:lineRule="auto"/>
        <w:ind w:left="60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Практика е като професионална квалификация в дипломите на студентите да се вписва  специалността, като престижната квалификация „инженер” („ел.инженер“) се пренебрегва. </w:t>
      </w:r>
    </w:p>
    <w:p w:rsidR="00242F65" w:rsidRDefault="00242F65" w:rsidP="00242F65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Въз основа на предложенията, получени от регоналните колегии предлагаме на вниманието ви и актуализирания списък на експертите (</w:t>
      </w:r>
      <w:r>
        <w:rPr>
          <w:b/>
          <w:bCs/>
          <w:color w:val="0000FF"/>
          <w:sz w:val="26"/>
          <w:szCs w:val="26"/>
        </w:rPr>
        <w:t>приложение 2</w:t>
      </w:r>
      <w:r>
        <w:rPr>
          <w:bCs/>
          <w:color w:val="000000"/>
          <w:sz w:val="26"/>
          <w:szCs w:val="26"/>
        </w:rPr>
        <w:t>), който може да остане „отворен” до предаването на материалите от това общо събрание в Централния офис на КИИП</w:t>
      </w:r>
      <w:r w:rsidR="00173185">
        <w:rPr>
          <w:bCs/>
          <w:color w:val="000000"/>
          <w:sz w:val="26"/>
          <w:szCs w:val="26"/>
        </w:rPr>
        <w:t xml:space="preserve"> (15 април 2015 г.)</w:t>
      </w:r>
      <w:r>
        <w:rPr>
          <w:bCs/>
          <w:color w:val="000000"/>
          <w:sz w:val="26"/>
          <w:szCs w:val="26"/>
        </w:rPr>
        <w:t xml:space="preserve">. </w:t>
      </w:r>
    </w:p>
    <w:p w:rsidR="00242F65" w:rsidRDefault="00242F65" w:rsidP="00242F65">
      <w:pPr>
        <w:ind w:left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По т. 5  Осъществяване на контакти с регионалните професионални секции (РПС). </w:t>
      </w:r>
    </w:p>
    <w:p w:rsidR="00242F65" w:rsidRDefault="00242F65" w:rsidP="00242F65">
      <w:pPr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 xml:space="preserve">      </w:t>
      </w:r>
      <w:r>
        <w:rPr>
          <w:sz w:val="26"/>
          <w:szCs w:val="26"/>
        </w:rPr>
        <w:t>Имаме основание  да  отчетем, че контактите на ръководството на секцията с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РПС секции са на сравнително добро равнище. Най-малко поради факта, че инж. Каралеев (като гл. секретар) поддържа регулярно контакти с отделните регионални ръководства. </w:t>
      </w:r>
    </w:p>
    <w:p w:rsidR="00242F65" w:rsidRDefault="00242F65" w:rsidP="00242F6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 съжаление продължава да страда комуникацията ми с колеги от провинциалните РК и тя не беше на желаното ниво. Малко се отзоваха на искането ми да подадат своевременно информация за дейността през изтеклия отчетен период. Както обикновено инж. Желев пръв </w:t>
      </w:r>
      <w:r>
        <w:rPr>
          <w:sz w:val="26"/>
          <w:szCs w:val="26"/>
        </w:rPr>
        <w:lastRenderedPageBreak/>
        <w:t>коректно и отговорно се отнесе към това задължение – още преди да отправя официалната покана и подсещане за това. От своя страна съм се стремил да участвам в многобройните мероприятия на РК- София град, като нейн член. Сътрудничеството ни с РК- София</w:t>
      </w:r>
      <w:r w:rsidR="009A3D50">
        <w:rPr>
          <w:sz w:val="26"/>
          <w:szCs w:val="26"/>
        </w:rPr>
        <w:t xml:space="preserve">, както споменах вече </w:t>
      </w:r>
      <w:r>
        <w:rPr>
          <w:sz w:val="26"/>
          <w:szCs w:val="26"/>
        </w:rPr>
        <w:t xml:space="preserve">е ползотворно и успешно. </w:t>
      </w:r>
    </w:p>
    <w:p w:rsidR="00242F65" w:rsidRDefault="00242F65" w:rsidP="00A6178B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 xml:space="preserve">По т. 6. Мероприятия, свързани с квалификацията на кадрите. </w:t>
      </w:r>
    </w:p>
    <w:p w:rsidR="00242F65" w:rsidRDefault="00242F65" w:rsidP="00242F65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През годината много колеги успяха да се включат в мероприя</w:t>
      </w:r>
      <w:r w:rsidR="00A6178B">
        <w:rPr>
          <w:bCs/>
          <w:color w:val="000000"/>
          <w:sz w:val="26"/>
          <w:szCs w:val="26"/>
        </w:rPr>
        <w:t>тия</w:t>
      </w:r>
      <w:r>
        <w:rPr>
          <w:bCs/>
          <w:color w:val="000000"/>
          <w:sz w:val="26"/>
          <w:szCs w:val="26"/>
        </w:rPr>
        <w:t xml:space="preserve">та, реализирани чрез регионалните колегии. Въпреки желанието ми да ви информирам по-подробно по реализираните обучения не получих навреме информация от всички колегии и затова съм се доверил на информацията, подадена от Централния офис и отразена в </w:t>
      </w:r>
      <w:r>
        <w:rPr>
          <w:b/>
          <w:bCs/>
          <w:color w:val="0000FF"/>
          <w:sz w:val="26"/>
          <w:szCs w:val="26"/>
          <w:u w:val="single"/>
        </w:rPr>
        <w:t>прил. 3</w:t>
      </w:r>
      <w:r>
        <w:rPr>
          <w:b/>
          <w:bCs/>
          <w:color w:val="000000"/>
          <w:sz w:val="26"/>
          <w:szCs w:val="26"/>
          <w:u w:val="single"/>
        </w:rPr>
        <w:t>.</w:t>
      </w:r>
      <w:r>
        <w:rPr>
          <w:bCs/>
          <w:color w:val="000000"/>
          <w:sz w:val="26"/>
          <w:szCs w:val="26"/>
        </w:rPr>
        <w:t xml:space="preserve"> Ще приема всяка постъпила допълнително информация от вас да бъде добавена в този отчет при окончателното оформяне на отчета. </w:t>
      </w:r>
    </w:p>
    <w:p w:rsidR="00242F65" w:rsidRDefault="00242F65" w:rsidP="00242F65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 за тази година имаме уверенията на централното ръководство, че ще се резервират средства във връзка с обучението по предложените теми, които обобщено са отразени в </w:t>
      </w:r>
      <w:r>
        <w:rPr>
          <w:b/>
          <w:bCs/>
          <w:color w:val="0000FF"/>
          <w:sz w:val="26"/>
          <w:szCs w:val="26"/>
          <w:u w:val="single"/>
        </w:rPr>
        <w:t>прил. 4.</w:t>
      </w:r>
      <w:r w:rsidRPr="009A3D50"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Предстои сериозно усвояване на средства във връзка с програмите за енергийна ефективност.</w:t>
      </w:r>
    </w:p>
    <w:p w:rsidR="00242F65" w:rsidRDefault="00242F65" w:rsidP="00242F65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През годината много колеги преминаха през квалификационните курсове за предоставяне на проектантски услуги по комплексната специалност „Пожарна безопасност“</w:t>
      </w:r>
      <w:r w:rsidR="00A6178B">
        <w:rPr>
          <w:bCs/>
          <w:color w:val="000000"/>
          <w:sz w:val="26"/>
          <w:szCs w:val="26"/>
        </w:rPr>
        <w:t>, както и върху „Наредбата за отстраняване на отпадъци“</w:t>
      </w:r>
      <w:r>
        <w:rPr>
          <w:bCs/>
          <w:color w:val="000000"/>
          <w:sz w:val="26"/>
          <w:szCs w:val="26"/>
        </w:rPr>
        <w:t>. Бяха предоставени (в някои случаи след поискване) и удостоверения на колеги за проектиране на съответния раздел в рамките на част „Електрическа“ на проекта.</w:t>
      </w:r>
    </w:p>
    <w:p w:rsidR="00242F65" w:rsidRDefault="00242F65" w:rsidP="00242F65">
      <w:pPr>
        <w:ind w:firstLine="708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Въз основа на предложенията, получени от регоналните колегии предлагаме на вниманието ви проект за програма, който при добра организазция може да се реализира успешно</w:t>
      </w:r>
      <w:r w:rsidR="00173185">
        <w:rPr>
          <w:bCs/>
          <w:color w:val="000000"/>
          <w:sz w:val="26"/>
          <w:szCs w:val="26"/>
        </w:rPr>
        <w:t xml:space="preserve"> и</w:t>
      </w:r>
      <w:r>
        <w:rPr>
          <w:bCs/>
          <w:color w:val="000000"/>
          <w:sz w:val="26"/>
          <w:szCs w:val="26"/>
        </w:rPr>
        <w:t xml:space="preserve"> може да остане „отворен” до предаването на материалите от това общо събрание в Централния офис на КИИП. </w:t>
      </w:r>
    </w:p>
    <w:p w:rsidR="00242F65" w:rsidRDefault="00242F65" w:rsidP="00242F65">
      <w:pPr>
        <w:ind w:firstLine="708"/>
        <w:jc w:val="both"/>
        <w:outlineLvl w:val="3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Известно е, че системата на обучение във висшите училища дава необходимата база от знания за предоставяне на проектантски услуги в областта на инвестиционното проектиране на ниво ОПП, но процесите  предизвикани от </w:t>
      </w:r>
      <w:r>
        <w:rPr>
          <w:sz w:val="26"/>
          <w:szCs w:val="26"/>
        </w:rPr>
        <w:t>присъединяването на страната ни към Европейския съюз, необходимостта от привеждане на нормативната база в съответствие с Регламентите и Директивите на ЕС, налагат необходимостта от продължаващо обучение в много по-гъвкави форми от прилаганите във висшите училища, които  да са обвързани със специфични форми на обучение, учебни планове и пр.</w:t>
      </w:r>
    </w:p>
    <w:p w:rsidR="00242F65" w:rsidRDefault="00242F65" w:rsidP="00242F65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От получените отчети и от непосредствените ми впечатления и тази година регионалните колегии в по-големите градове като РК-София, РК-Пловдив, РК-Варна, РК-Бургас, РК- Ст. Загора, РК–В.Търново се отличиха със сериозни реализирани програми, както и с конкретни предложения </w:t>
      </w:r>
      <w:r w:rsidR="00A6178B">
        <w:rPr>
          <w:bCs/>
          <w:color w:val="000000"/>
          <w:sz w:val="26"/>
          <w:szCs w:val="26"/>
        </w:rPr>
        <w:t xml:space="preserve">– Варна, София, Русе. </w:t>
      </w:r>
      <w:r>
        <w:rPr>
          <w:bCs/>
          <w:color w:val="000000"/>
          <w:sz w:val="26"/>
          <w:szCs w:val="26"/>
        </w:rPr>
        <w:tab/>
        <w:t>Специално искам да им благодаря, както и на колегите, които своевременно изпратиха информация за проведените отчетни събрания.</w:t>
      </w:r>
    </w:p>
    <w:p w:rsidR="00242F65" w:rsidRDefault="00242F65" w:rsidP="00242F65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Искам да отделя и малко време за разработваните от дълго време изисквания към професионалната квалификация във връзка с характера на правоспособността. </w:t>
      </w:r>
    </w:p>
    <w:p w:rsidR="00242F65" w:rsidRDefault="00242F65" w:rsidP="00242F65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Както реши нашето Общо събрание през 2013 г. в удостоверенията за проектантска правоспособност вече се вписва единствено част „Електрическа” на проекта – така, както е заложена в Наредба № 4/2001 на МРРБ за обхвата и съдържанието на инвестиционните проекти с едно допълнение включено в скоби („Електротехника, автоматика и съобщителна техника“). За съжаление </w:t>
      </w:r>
      <w:r w:rsidR="00A6178B">
        <w:rPr>
          <w:iCs/>
          <w:sz w:val="26"/>
          <w:szCs w:val="26"/>
        </w:rPr>
        <w:t xml:space="preserve">и тази година </w:t>
      </w:r>
      <w:r>
        <w:rPr>
          <w:iCs/>
          <w:sz w:val="26"/>
          <w:szCs w:val="26"/>
        </w:rPr>
        <w:t>изразът в скобите не беше включен своевременно при издаването на новите удостоверения и се налага допълнително позоваване на едно писмо на Председателя на КИИП. Необходимо е д</w:t>
      </w:r>
      <w:r>
        <w:rPr>
          <w:sz w:val="26"/>
          <w:szCs w:val="26"/>
        </w:rPr>
        <w:t xml:space="preserve">а се ограничи възможността лица без нужното инженерно образование </w:t>
      </w:r>
      <w:r w:rsidR="00173185">
        <w:rPr>
          <w:sz w:val="26"/>
          <w:szCs w:val="26"/>
        </w:rPr>
        <w:t xml:space="preserve">(получено във висше </w:t>
      </w:r>
      <w:r w:rsidR="00173185" w:rsidRPr="00173185">
        <w:rPr>
          <w:b/>
          <w:sz w:val="26"/>
          <w:szCs w:val="26"/>
        </w:rPr>
        <w:t>техническо</w:t>
      </w:r>
      <w:r w:rsidR="00173185">
        <w:rPr>
          <w:sz w:val="26"/>
          <w:szCs w:val="26"/>
        </w:rPr>
        <w:t xml:space="preserve"> училище) </w:t>
      </w:r>
      <w:r>
        <w:rPr>
          <w:sz w:val="26"/>
          <w:szCs w:val="26"/>
        </w:rPr>
        <w:t>да разработват обекти от І – ІV категории, т.е. да получават пълна проектантска правоспособност.</w:t>
      </w:r>
    </w:p>
    <w:p w:rsidR="00242F65" w:rsidRDefault="00242F65" w:rsidP="00A6178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6178B">
        <w:rPr>
          <w:sz w:val="26"/>
          <w:szCs w:val="26"/>
        </w:rPr>
        <w:tab/>
        <w:t>По отношение включване в регистрите за ПП на лица на база единствено дипломата за висше образование, считам</w:t>
      </w:r>
      <w:r w:rsidR="00A6178B" w:rsidRPr="009A3D50">
        <w:rPr>
          <w:sz w:val="16"/>
          <w:szCs w:val="16"/>
        </w:rPr>
        <w:t xml:space="preserve"> </w:t>
      </w:r>
      <w:r w:rsidR="00A6178B">
        <w:rPr>
          <w:sz w:val="26"/>
          <w:szCs w:val="26"/>
        </w:rPr>
        <w:t xml:space="preserve">че е редно да отстояваме заявената на миналото </w:t>
      </w:r>
      <w:r w:rsidR="009A3D50">
        <w:rPr>
          <w:sz w:val="26"/>
          <w:szCs w:val="26"/>
        </w:rPr>
        <w:t xml:space="preserve">(2014 г.) </w:t>
      </w:r>
      <w:r w:rsidR="00A6178B">
        <w:rPr>
          <w:sz w:val="26"/>
          <w:szCs w:val="26"/>
        </w:rPr>
        <w:t>събрание позиц</w:t>
      </w:r>
      <w:r w:rsidR="009A3D50">
        <w:rPr>
          <w:sz w:val="26"/>
          <w:szCs w:val="26"/>
        </w:rPr>
        <w:t>ия</w:t>
      </w:r>
      <w:r w:rsidR="00A6178B">
        <w:rPr>
          <w:sz w:val="26"/>
          <w:szCs w:val="26"/>
        </w:rPr>
        <w:t>, а именно: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за ОПП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Най-малко 240 кредита – само за ниво 6Б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</w:rPr>
        <w:t>бакалавър след 4 г. проектантски стаж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както и за магистър – при директна магистърска програма </w:t>
      </w:r>
      <w:r w:rsidR="009A3D50">
        <w:rPr>
          <w:rFonts w:ascii="Times New Roman" w:hAnsi="Times New Roman" w:cs="Times New Roman"/>
          <w:sz w:val="26"/>
          <w:szCs w:val="26"/>
        </w:rPr>
        <w:t xml:space="preserve">във висше техническо училище </w:t>
      </w:r>
      <w:r>
        <w:rPr>
          <w:rFonts w:ascii="Times New Roman" w:hAnsi="Times New Roman" w:cs="Times New Roman"/>
          <w:sz w:val="26"/>
          <w:szCs w:val="26"/>
        </w:rPr>
        <w:t xml:space="preserve">или магистър след бакалавър от съответното научно направление и най-малко 300 кредита; 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ППП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За магистър–при директна магистърска програма или магистър след бакалавър от научните направления 5.2 и 5.3 от ЗВО и най-малко 300 кредита и съответния проект. стаж (съгласно Устава – 2 г. в проектантско бюро с проектанти от същото направление или 4 год. на свободна практика)</w:t>
      </w:r>
      <w:r w:rsidR="009A3D5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Лицата, дипломирани като „специалист”(ниво 5 от НКР) или „професионален бакалавър” (ниво 6А от НКР) нямат квалификацията „инженер” (не са </w:t>
      </w:r>
      <w:r w:rsidR="00A6178B">
        <w:rPr>
          <w:rFonts w:ascii="Times New Roman" w:hAnsi="Times New Roman" w:cs="Times New Roman"/>
          <w:sz w:val="26"/>
          <w:szCs w:val="26"/>
        </w:rPr>
        <w:t xml:space="preserve">се подготвяли </w:t>
      </w:r>
      <w:r>
        <w:rPr>
          <w:rFonts w:ascii="Times New Roman" w:hAnsi="Times New Roman" w:cs="Times New Roman"/>
          <w:sz w:val="26"/>
          <w:szCs w:val="26"/>
        </w:rPr>
        <w:t xml:space="preserve">за инженер). </w:t>
      </w:r>
    </w:p>
    <w:p w:rsidR="00242F65" w:rsidRDefault="00E8082A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42F65">
        <w:rPr>
          <w:rFonts w:ascii="Times New Roman" w:hAnsi="Times New Roman" w:cs="Times New Roman"/>
          <w:sz w:val="26"/>
          <w:szCs w:val="26"/>
        </w:rPr>
        <w:t>Считаме, че последващите само 60/120 кредита на ниво инженерно образование (при това задължително от съответното научно направление: 5.2 „Електротехника, електроника и автоматика“ или 5.3 „Комуникационна и компютърна техника и технологии“), както и лицата с ОКС „бакалавър” не са достатъчни за повече от ОПП.</w:t>
      </w:r>
    </w:p>
    <w:p w:rsidR="00242F65" w:rsidRDefault="00242F65" w:rsidP="000D778A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Лица,</w:t>
      </w:r>
      <w:r w:rsidRPr="0054249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дипломирани като магистри само на основание магистърска програма и </w:t>
      </w:r>
      <w:r w:rsidR="00542498">
        <w:rPr>
          <w:rFonts w:ascii="Times New Roman" w:hAnsi="Times New Roman" w:cs="Times New Roman"/>
          <w:sz w:val="26"/>
          <w:szCs w:val="26"/>
        </w:rPr>
        <w:t xml:space="preserve">квалифи-  </w:t>
      </w:r>
      <w:r>
        <w:rPr>
          <w:rFonts w:ascii="Times New Roman" w:hAnsi="Times New Roman" w:cs="Times New Roman"/>
          <w:sz w:val="26"/>
          <w:szCs w:val="26"/>
        </w:rPr>
        <w:t>кация „инженер” без предшестваща инженерна подготовка (като бакалаври</w:t>
      </w:r>
      <w:r w:rsidR="00542498">
        <w:rPr>
          <w:rFonts w:ascii="Times New Roman" w:hAnsi="Times New Roman" w:cs="Times New Roman"/>
          <w:sz w:val="26"/>
          <w:szCs w:val="26"/>
        </w:rPr>
        <w:t>, а не като специа</w:t>
      </w:r>
      <w:r w:rsidR="00173185">
        <w:rPr>
          <w:rFonts w:ascii="Times New Roman" w:hAnsi="Times New Roman" w:cs="Times New Roman"/>
          <w:sz w:val="26"/>
          <w:szCs w:val="26"/>
        </w:rPr>
        <w:t>-</w:t>
      </w:r>
      <w:r w:rsidR="00542498">
        <w:rPr>
          <w:rFonts w:ascii="Times New Roman" w:hAnsi="Times New Roman" w:cs="Times New Roman"/>
          <w:sz w:val="26"/>
          <w:szCs w:val="26"/>
        </w:rPr>
        <w:t>листи или професионални бакалаври</w:t>
      </w:r>
      <w:r>
        <w:rPr>
          <w:rFonts w:ascii="Times New Roman" w:hAnsi="Times New Roman" w:cs="Times New Roman"/>
          <w:sz w:val="26"/>
          <w:szCs w:val="26"/>
        </w:rPr>
        <w:t>) по същото (на магистърската програма) направление или само бакалаври да не могат да придобият  нещо повече от ОПП</w:t>
      </w:r>
      <w:r w:rsidR="00542498">
        <w:rPr>
          <w:rFonts w:ascii="Times New Roman" w:hAnsi="Times New Roman" w:cs="Times New Roman"/>
          <w:sz w:val="26"/>
          <w:szCs w:val="26"/>
        </w:rPr>
        <w:t>, независимо че висшите училища им присвояват квалификацията „инженер“</w:t>
      </w:r>
      <w:r>
        <w:rPr>
          <w:rFonts w:ascii="Times New Roman" w:hAnsi="Times New Roman" w:cs="Times New Roman"/>
          <w:sz w:val="26"/>
          <w:szCs w:val="26"/>
        </w:rPr>
        <w:t>.</w:t>
      </w:r>
      <w:r w:rsidR="00542498">
        <w:rPr>
          <w:rFonts w:ascii="Times New Roman" w:hAnsi="Times New Roman" w:cs="Times New Roman"/>
          <w:sz w:val="26"/>
          <w:szCs w:val="26"/>
        </w:rPr>
        <w:t xml:space="preserve"> Особено внимателни следва да сме</w:t>
      </w:r>
      <w:r w:rsidR="00542498" w:rsidRPr="00173185">
        <w:rPr>
          <w:rFonts w:ascii="Times New Roman" w:hAnsi="Times New Roman" w:cs="Times New Roman"/>
          <w:sz w:val="16"/>
          <w:szCs w:val="16"/>
        </w:rPr>
        <w:t xml:space="preserve"> </w:t>
      </w:r>
      <w:r w:rsidR="00542498">
        <w:rPr>
          <w:rFonts w:ascii="Times New Roman" w:hAnsi="Times New Roman" w:cs="Times New Roman"/>
          <w:sz w:val="26"/>
          <w:szCs w:val="26"/>
        </w:rPr>
        <w:t>в</w:t>
      </w:r>
      <w:r w:rsidR="00542498" w:rsidRPr="00173185">
        <w:rPr>
          <w:rFonts w:ascii="Times New Roman" w:hAnsi="Times New Roman" w:cs="Times New Roman"/>
          <w:sz w:val="16"/>
          <w:szCs w:val="16"/>
        </w:rPr>
        <w:t xml:space="preserve"> </w:t>
      </w:r>
      <w:r w:rsidR="00542498">
        <w:rPr>
          <w:rFonts w:ascii="Times New Roman" w:hAnsi="Times New Roman" w:cs="Times New Roman"/>
          <w:sz w:val="26"/>
          <w:szCs w:val="26"/>
        </w:rPr>
        <w:t>областта на ОКС в об</w:t>
      </w:r>
      <w:r w:rsidR="00173185">
        <w:rPr>
          <w:rFonts w:ascii="Times New Roman" w:hAnsi="Times New Roman" w:cs="Times New Roman"/>
          <w:sz w:val="26"/>
          <w:szCs w:val="26"/>
        </w:rPr>
        <w:t>л</w:t>
      </w:r>
      <w:r w:rsidR="00542498">
        <w:rPr>
          <w:rFonts w:ascii="Times New Roman" w:hAnsi="Times New Roman" w:cs="Times New Roman"/>
          <w:sz w:val="26"/>
          <w:szCs w:val="26"/>
        </w:rPr>
        <w:t>астта на информационните технологии</w:t>
      </w:r>
      <w:r w:rsidR="00173185">
        <w:rPr>
          <w:rFonts w:ascii="Times New Roman" w:hAnsi="Times New Roman" w:cs="Times New Roman"/>
          <w:sz w:val="26"/>
          <w:szCs w:val="26"/>
        </w:rPr>
        <w:t xml:space="preserve"> и компютърните науки</w:t>
      </w:r>
      <w:r w:rsidR="00542498">
        <w:rPr>
          <w:rFonts w:ascii="Times New Roman" w:hAnsi="Times New Roman" w:cs="Times New Roman"/>
          <w:sz w:val="26"/>
          <w:szCs w:val="26"/>
        </w:rPr>
        <w:t>, тъй като те фигурират както в областта „Технически науки“, така и в области</w:t>
      </w:r>
      <w:r w:rsidR="00173185">
        <w:rPr>
          <w:rFonts w:ascii="Times New Roman" w:hAnsi="Times New Roman" w:cs="Times New Roman"/>
          <w:sz w:val="26"/>
          <w:szCs w:val="26"/>
        </w:rPr>
        <w:t>те</w:t>
      </w:r>
      <w:r w:rsidR="00542498">
        <w:rPr>
          <w:rFonts w:ascii="Times New Roman" w:hAnsi="Times New Roman" w:cs="Times New Roman"/>
          <w:sz w:val="26"/>
          <w:szCs w:val="26"/>
        </w:rPr>
        <w:t xml:space="preserve"> </w:t>
      </w:r>
      <w:r w:rsidR="00E8082A">
        <w:rPr>
          <w:rFonts w:ascii="Times New Roman" w:hAnsi="Times New Roman" w:cs="Times New Roman"/>
          <w:sz w:val="26"/>
          <w:szCs w:val="26"/>
        </w:rPr>
        <w:t>„3. Социални, стопански и правни науки“– направление 3.5 „Обществени комуникации и инфо</w:t>
      </w:r>
      <w:r w:rsidR="00173185">
        <w:rPr>
          <w:rFonts w:ascii="Times New Roman" w:hAnsi="Times New Roman" w:cs="Times New Roman"/>
          <w:sz w:val="26"/>
          <w:szCs w:val="26"/>
        </w:rPr>
        <w:t>р</w:t>
      </w:r>
      <w:r w:rsidR="00E8082A">
        <w:rPr>
          <w:rFonts w:ascii="Times New Roman" w:hAnsi="Times New Roman" w:cs="Times New Roman"/>
          <w:sz w:val="26"/>
          <w:szCs w:val="26"/>
        </w:rPr>
        <w:t>мационни науки“ и в  „4. Природни науки“ – направление „Информационни и компютърни науки“.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778A">
        <w:rPr>
          <w:rFonts w:ascii="Times New Roman" w:hAnsi="Times New Roman" w:cs="Times New Roman"/>
          <w:sz w:val="26"/>
          <w:szCs w:val="26"/>
        </w:rPr>
        <w:t>Важно е д</w:t>
      </w:r>
      <w:r>
        <w:rPr>
          <w:rFonts w:ascii="Times New Roman" w:hAnsi="Times New Roman" w:cs="Times New Roman"/>
          <w:sz w:val="26"/>
          <w:szCs w:val="26"/>
        </w:rPr>
        <w:t>а се публикува на страницата на съответната РК/НПС разширен регистър, който да съдържа (без тези по „Закона за защита на личните данни“) данни за: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частта/частите на проекта, за които проектантът е оправомощен;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протоколното решение (№ и дата/година), с което проектантът е оправомощен;</w:t>
      </w:r>
    </w:p>
    <w:p w:rsidR="00FF3627" w:rsidRDefault="00FF3627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висшето </w:t>
      </w:r>
      <w:r w:rsidR="00AA2EFF" w:rsidRPr="00173185">
        <w:rPr>
          <w:rFonts w:ascii="Times New Roman" w:hAnsi="Times New Roman" w:cs="Times New Roman"/>
          <w:b/>
          <w:sz w:val="26"/>
          <w:szCs w:val="26"/>
        </w:rPr>
        <w:t>техническо</w:t>
      </w:r>
      <w:r w:rsidR="00AA2E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училище, в което колегата се е дипломирал</w:t>
      </w:r>
      <w:r w:rsidR="00173185">
        <w:rPr>
          <w:rFonts w:ascii="Times New Roman" w:hAnsi="Times New Roman" w:cs="Times New Roman"/>
          <w:sz w:val="26"/>
          <w:szCs w:val="26"/>
        </w:rPr>
        <w:t>, кога</w:t>
      </w:r>
      <w:r>
        <w:rPr>
          <w:rFonts w:ascii="Times New Roman" w:hAnsi="Times New Roman" w:cs="Times New Roman"/>
          <w:sz w:val="26"/>
          <w:szCs w:val="26"/>
        </w:rPr>
        <w:t xml:space="preserve"> и специалността му като инженер;</w:t>
      </w:r>
    </w:p>
    <w:p w:rsidR="00242F65" w:rsidRDefault="00242F65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адресът на електронната поща на всеки правоспособен проектант.  </w:t>
      </w:r>
    </w:p>
    <w:p w:rsidR="00FF3627" w:rsidRDefault="00E57B6B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F3627">
        <w:rPr>
          <w:rFonts w:ascii="Times New Roman" w:hAnsi="Times New Roman" w:cs="Times New Roman"/>
          <w:sz w:val="26"/>
          <w:szCs w:val="26"/>
        </w:rPr>
        <w:t xml:space="preserve">Това ще </w:t>
      </w:r>
      <w:r w:rsidR="000D778A">
        <w:rPr>
          <w:rFonts w:ascii="Times New Roman" w:hAnsi="Times New Roman" w:cs="Times New Roman"/>
          <w:sz w:val="26"/>
          <w:szCs w:val="26"/>
        </w:rPr>
        <w:t xml:space="preserve">ни </w:t>
      </w:r>
      <w:r w:rsidR="00FF3627">
        <w:rPr>
          <w:rFonts w:ascii="Times New Roman" w:hAnsi="Times New Roman" w:cs="Times New Roman"/>
          <w:sz w:val="26"/>
          <w:szCs w:val="26"/>
        </w:rPr>
        <w:t xml:space="preserve">облекчи </w:t>
      </w:r>
      <w:r w:rsidR="000D778A">
        <w:rPr>
          <w:rFonts w:ascii="Times New Roman" w:hAnsi="Times New Roman" w:cs="Times New Roman"/>
          <w:sz w:val="26"/>
          <w:szCs w:val="26"/>
        </w:rPr>
        <w:t xml:space="preserve">значително </w:t>
      </w:r>
      <w:r w:rsidR="00FF3627">
        <w:rPr>
          <w:rFonts w:ascii="Times New Roman" w:hAnsi="Times New Roman" w:cs="Times New Roman"/>
          <w:sz w:val="26"/>
          <w:szCs w:val="26"/>
        </w:rPr>
        <w:t>в анализа за качеството на образованието и подготовката членове</w:t>
      </w:r>
      <w:r>
        <w:rPr>
          <w:rFonts w:ascii="Times New Roman" w:hAnsi="Times New Roman" w:cs="Times New Roman"/>
          <w:sz w:val="26"/>
          <w:szCs w:val="26"/>
        </w:rPr>
        <w:t>те ни</w:t>
      </w:r>
      <w:r w:rsidR="00FF3627">
        <w:rPr>
          <w:rFonts w:ascii="Times New Roman" w:hAnsi="Times New Roman" w:cs="Times New Roman"/>
          <w:sz w:val="26"/>
          <w:szCs w:val="26"/>
        </w:rPr>
        <w:t>.</w:t>
      </w:r>
    </w:p>
    <w:p w:rsidR="000D778A" w:rsidRDefault="000D778A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Очаквам Вашите препоръки към този доклад сега и в рамките на следващите две седмици – до представянето му в Централния офис на КИИП.</w:t>
      </w:r>
    </w:p>
    <w:p w:rsidR="000D778A" w:rsidRDefault="000D778A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Благодаря за вниманието!</w:t>
      </w:r>
    </w:p>
    <w:p w:rsidR="00DF365B" w:rsidRDefault="00DF365B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DF365B" w:rsidRDefault="00DF365B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DF365B" w:rsidRDefault="00DF365B" w:rsidP="00242F65">
      <w:pPr>
        <w:pStyle w:val="Default"/>
        <w:rPr>
          <w:rFonts w:ascii="Times New Roman" w:hAnsi="Times New Roman" w:cs="Times New Roman"/>
          <w:sz w:val="26"/>
          <w:szCs w:val="26"/>
        </w:rPr>
      </w:pPr>
    </w:p>
    <w:sectPr w:rsidR="00DF365B" w:rsidSect="00242F6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20B0"/>
    <w:multiLevelType w:val="hybridMultilevel"/>
    <w:tmpl w:val="FBCA40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62171"/>
    <w:multiLevelType w:val="hybridMultilevel"/>
    <w:tmpl w:val="F5B827F6"/>
    <w:lvl w:ilvl="0" w:tplc="73200FC8">
      <w:start w:val="1"/>
      <w:numFmt w:val="decimal"/>
      <w:lvlText w:val="%1."/>
      <w:lvlJc w:val="left"/>
      <w:pPr>
        <w:ind w:left="1125" w:hanging="67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2B4254D"/>
    <w:multiLevelType w:val="hybridMultilevel"/>
    <w:tmpl w:val="9EFCC948"/>
    <w:lvl w:ilvl="0" w:tplc="466C19D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42F65"/>
    <w:rsid w:val="000240AC"/>
    <w:rsid w:val="0003768D"/>
    <w:rsid w:val="000D778A"/>
    <w:rsid w:val="00173185"/>
    <w:rsid w:val="001D0352"/>
    <w:rsid w:val="001E07B0"/>
    <w:rsid w:val="002226E3"/>
    <w:rsid w:val="00242F65"/>
    <w:rsid w:val="002A1D7D"/>
    <w:rsid w:val="002F6A8F"/>
    <w:rsid w:val="00306EEA"/>
    <w:rsid w:val="003237F9"/>
    <w:rsid w:val="00411A2B"/>
    <w:rsid w:val="004704F3"/>
    <w:rsid w:val="004C2A3A"/>
    <w:rsid w:val="00542498"/>
    <w:rsid w:val="00592432"/>
    <w:rsid w:val="006920C4"/>
    <w:rsid w:val="007053D2"/>
    <w:rsid w:val="00862ED8"/>
    <w:rsid w:val="008E0D3C"/>
    <w:rsid w:val="008F2D19"/>
    <w:rsid w:val="00973685"/>
    <w:rsid w:val="009A3D50"/>
    <w:rsid w:val="00A6178B"/>
    <w:rsid w:val="00AA2EFF"/>
    <w:rsid w:val="00C10346"/>
    <w:rsid w:val="00C43174"/>
    <w:rsid w:val="00C67D47"/>
    <w:rsid w:val="00CA507B"/>
    <w:rsid w:val="00CB6B4B"/>
    <w:rsid w:val="00CE312E"/>
    <w:rsid w:val="00CF3C22"/>
    <w:rsid w:val="00D63E33"/>
    <w:rsid w:val="00DF365B"/>
    <w:rsid w:val="00E57B6B"/>
    <w:rsid w:val="00E8082A"/>
    <w:rsid w:val="00ED22B6"/>
    <w:rsid w:val="00F33119"/>
    <w:rsid w:val="00F7410D"/>
    <w:rsid w:val="00FF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F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242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noprint">
    <w:name w:val="noprint"/>
    <w:basedOn w:val="DefaultParagraphFont"/>
    <w:rsid w:val="00DF3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F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242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noprint">
    <w:name w:val="noprint"/>
    <w:basedOn w:val="a0"/>
    <w:rsid w:val="00DF3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Grancharov</dc:creator>
  <cp:lastModifiedBy>Owner</cp:lastModifiedBy>
  <cp:revision>2</cp:revision>
  <dcterms:created xsi:type="dcterms:W3CDTF">2015-03-26T09:14:00Z</dcterms:created>
  <dcterms:modified xsi:type="dcterms:W3CDTF">2015-03-26T09:14:00Z</dcterms:modified>
</cp:coreProperties>
</file>